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  <w:bookmarkStart w:id="0" w:name="_GoBack"/>
      <w:bookmarkEnd w:id="0"/>
      <w:r>
        <w:rPr>
          <w:rFonts w:cs="Times New Roman"/>
          <w:szCs w:val="28"/>
          <w:lang w:val="uk-UA"/>
        </w:rPr>
        <w:t>Друк та стендова презентація на конференцію.</w:t>
      </w: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jc w:val="both"/>
        <w:rPr>
          <w:rFonts w:cs="Times New Roman"/>
          <w:szCs w:val="28"/>
          <w:lang w:val="uk-UA"/>
        </w:rPr>
      </w:pPr>
      <w:proofErr w:type="spellStart"/>
      <w:r>
        <w:rPr>
          <w:rFonts w:cs="Times New Roman"/>
          <w:szCs w:val="28"/>
          <w:lang w:val="uk-UA"/>
        </w:rPr>
        <w:t>Лобойко</w:t>
      </w:r>
      <w:proofErr w:type="spellEnd"/>
      <w:r>
        <w:rPr>
          <w:rFonts w:cs="Times New Roman"/>
          <w:szCs w:val="28"/>
          <w:lang w:val="uk-UA"/>
        </w:rPr>
        <w:t xml:space="preserve"> Вікторія Володимирівна, завідуюча відділенням неврології ПП СП «Біла Акація», лікар-невролог І категорії, 65062, м. Одеса, вул. Педагогічна 21, </w:t>
      </w:r>
      <w:proofErr w:type="spellStart"/>
      <w:r>
        <w:rPr>
          <w:rFonts w:cs="Times New Roman"/>
          <w:szCs w:val="28"/>
          <w:lang w:val="uk-UA"/>
        </w:rPr>
        <w:t>кв</w:t>
      </w:r>
      <w:proofErr w:type="spellEnd"/>
      <w:r>
        <w:rPr>
          <w:rFonts w:cs="Times New Roman"/>
          <w:szCs w:val="28"/>
          <w:lang w:val="uk-UA"/>
        </w:rPr>
        <w:t xml:space="preserve">. 35, </w:t>
      </w:r>
      <w:proofErr w:type="spellStart"/>
      <w:r>
        <w:rPr>
          <w:rFonts w:cs="Times New Roman"/>
          <w:szCs w:val="28"/>
          <w:lang w:val="uk-UA"/>
        </w:rPr>
        <w:t>моб</w:t>
      </w:r>
      <w:proofErr w:type="spellEnd"/>
      <w:r>
        <w:rPr>
          <w:rFonts w:cs="Times New Roman"/>
          <w:szCs w:val="28"/>
          <w:lang w:val="uk-UA"/>
        </w:rPr>
        <w:t xml:space="preserve">. </w:t>
      </w:r>
      <w:proofErr w:type="spellStart"/>
      <w:r>
        <w:rPr>
          <w:rFonts w:cs="Times New Roman"/>
          <w:szCs w:val="28"/>
          <w:lang w:val="uk-UA"/>
        </w:rPr>
        <w:t>тел</w:t>
      </w:r>
      <w:proofErr w:type="spellEnd"/>
      <w:r>
        <w:rPr>
          <w:rFonts w:cs="Times New Roman"/>
          <w:szCs w:val="28"/>
          <w:lang w:val="uk-UA"/>
        </w:rPr>
        <w:t>. +380679198471</w:t>
      </w: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Default="005A6A76" w:rsidP="005A6A76">
      <w:pPr>
        <w:spacing w:after="0" w:line="360" w:lineRule="auto"/>
        <w:ind w:firstLine="142"/>
        <w:jc w:val="both"/>
        <w:rPr>
          <w:rFonts w:cs="Times New Roman"/>
          <w:szCs w:val="28"/>
          <w:lang w:val="uk-UA"/>
        </w:rPr>
      </w:pPr>
    </w:p>
    <w:p w:rsidR="005A6A76" w:rsidRPr="00A64658" w:rsidRDefault="005A6A76" w:rsidP="005A6A76">
      <w:pPr>
        <w:spacing w:after="0" w:line="360" w:lineRule="auto"/>
        <w:jc w:val="both"/>
        <w:rPr>
          <w:rFonts w:cs="Times New Roman"/>
          <w:i/>
          <w:szCs w:val="28"/>
          <w:lang w:val="uk-UA"/>
        </w:rPr>
      </w:pPr>
      <w:r w:rsidRPr="00A64658">
        <w:rPr>
          <w:rFonts w:cs="Times New Roman"/>
          <w:i/>
          <w:szCs w:val="28"/>
          <w:lang w:val="uk-UA"/>
        </w:rPr>
        <w:lastRenderedPageBreak/>
        <w:t>УДК 611.711-612.394.2</w:t>
      </w:r>
    </w:p>
    <w:p w:rsidR="005A6A76" w:rsidRDefault="005A6A76" w:rsidP="005A6A76">
      <w:pPr>
        <w:spacing w:after="0" w:line="360" w:lineRule="auto"/>
        <w:jc w:val="center"/>
        <w:rPr>
          <w:lang w:val="uk-UA"/>
        </w:rPr>
      </w:pPr>
    </w:p>
    <w:p w:rsidR="007B73F3" w:rsidRPr="007B73F3" w:rsidRDefault="007B73F3" w:rsidP="005A6A76">
      <w:pPr>
        <w:spacing w:after="0" w:line="360" w:lineRule="auto"/>
        <w:jc w:val="center"/>
        <w:rPr>
          <w:b/>
          <w:lang w:val="uk-UA"/>
        </w:rPr>
      </w:pPr>
      <w:r w:rsidRPr="007B73F3">
        <w:rPr>
          <w:b/>
          <w:lang w:val="uk-UA"/>
        </w:rPr>
        <w:t>ВИКОРИСТАННЯ ІМПУЛЬСНОЇ МАГНІТНОЇ СТИМУЛЯЦІЇ ПРИ ЛІКУВАННІ ОСТЕОХОНДРОЗУ ХРЕБТА ПОПЕРЕКОВОГО ВІДДІЛУ УСКЛАДНЕНОГО БОЛЬОВИМ СИНДРОМОМ</w:t>
      </w:r>
    </w:p>
    <w:p w:rsidR="005A6A76" w:rsidRPr="007B73F3" w:rsidRDefault="005A6A76" w:rsidP="005A6A76">
      <w:pPr>
        <w:spacing w:after="0" w:line="360" w:lineRule="auto"/>
        <w:ind w:firstLine="708"/>
        <w:jc w:val="center"/>
        <w:rPr>
          <w:rFonts w:cs="Times New Roman"/>
          <w:szCs w:val="28"/>
          <w:lang w:val="uk-UA"/>
        </w:rPr>
      </w:pPr>
      <w:proofErr w:type="spellStart"/>
      <w:r w:rsidRPr="007B73F3">
        <w:rPr>
          <w:rFonts w:cs="Times New Roman"/>
          <w:szCs w:val="28"/>
          <w:lang w:val="uk-UA"/>
        </w:rPr>
        <w:t>Лобойко</w:t>
      </w:r>
      <w:proofErr w:type="spellEnd"/>
      <w:r w:rsidRPr="007B73F3">
        <w:rPr>
          <w:rFonts w:cs="Times New Roman"/>
          <w:szCs w:val="28"/>
          <w:lang w:val="uk-UA"/>
        </w:rPr>
        <w:t xml:space="preserve"> В.В.</w:t>
      </w:r>
    </w:p>
    <w:p w:rsidR="005A6A76" w:rsidRPr="007B73F3" w:rsidRDefault="005A6A76" w:rsidP="005A6A76">
      <w:pPr>
        <w:spacing w:after="0" w:line="360" w:lineRule="auto"/>
        <w:ind w:firstLine="708"/>
        <w:jc w:val="center"/>
        <w:rPr>
          <w:rFonts w:cs="Times New Roman"/>
          <w:i/>
          <w:szCs w:val="28"/>
          <w:lang w:val="uk-UA"/>
        </w:rPr>
      </w:pPr>
      <w:r w:rsidRPr="007B73F3">
        <w:rPr>
          <w:rFonts w:cs="Times New Roman"/>
          <w:i/>
          <w:szCs w:val="28"/>
          <w:lang w:val="uk-UA"/>
        </w:rPr>
        <w:t>ДУ «Український НДІ медичної</w:t>
      </w:r>
    </w:p>
    <w:p w:rsidR="005A6A76" w:rsidRPr="007B73F3" w:rsidRDefault="005A6A76" w:rsidP="005A6A76">
      <w:pPr>
        <w:spacing w:after="0" w:line="360" w:lineRule="auto"/>
        <w:jc w:val="center"/>
        <w:rPr>
          <w:rFonts w:cs="Times New Roman"/>
          <w:i/>
          <w:szCs w:val="28"/>
          <w:lang w:val="uk-UA"/>
        </w:rPr>
      </w:pPr>
      <w:r w:rsidRPr="007B73F3">
        <w:rPr>
          <w:rFonts w:cs="Times New Roman"/>
          <w:i/>
          <w:szCs w:val="28"/>
          <w:lang w:val="uk-UA"/>
        </w:rPr>
        <w:t>реабілітації та курортології МОЗ України»</w:t>
      </w:r>
    </w:p>
    <w:p w:rsidR="005A6A76" w:rsidRPr="007B73F3" w:rsidRDefault="005A6A76" w:rsidP="005A6A76">
      <w:pPr>
        <w:spacing w:after="0" w:line="360" w:lineRule="auto"/>
        <w:ind w:firstLine="708"/>
        <w:jc w:val="center"/>
        <w:rPr>
          <w:rFonts w:cs="Times New Roman"/>
          <w:i/>
          <w:szCs w:val="28"/>
          <w:lang w:val="uk-UA"/>
        </w:rPr>
      </w:pPr>
      <w:r w:rsidRPr="007B73F3">
        <w:rPr>
          <w:rFonts w:cs="Times New Roman"/>
          <w:i/>
          <w:szCs w:val="28"/>
          <w:lang w:val="uk-UA"/>
        </w:rPr>
        <w:t xml:space="preserve">Санаторій-профілакторій «Біла Акація», </w:t>
      </w:r>
      <w:r w:rsidR="00061C8D">
        <w:rPr>
          <w:rFonts w:cs="Times New Roman"/>
          <w:i/>
          <w:szCs w:val="28"/>
          <w:lang w:val="uk-UA"/>
        </w:rPr>
        <w:t xml:space="preserve">м. </w:t>
      </w:r>
      <w:r w:rsidRPr="007B73F3">
        <w:rPr>
          <w:rFonts w:cs="Times New Roman"/>
          <w:i/>
          <w:szCs w:val="28"/>
          <w:lang w:val="uk-UA"/>
        </w:rPr>
        <w:t>Одеса</w:t>
      </w:r>
    </w:p>
    <w:p w:rsidR="005A6A76" w:rsidRPr="00F31B3A" w:rsidRDefault="007B73F3" w:rsidP="005A6A76">
      <w:pPr>
        <w:spacing w:after="0" w:line="360" w:lineRule="auto"/>
        <w:ind w:firstLine="708"/>
        <w:jc w:val="center"/>
        <w:rPr>
          <w:rFonts w:cs="Times New Roman"/>
          <w:i/>
          <w:szCs w:val="28"/>
          <w:lang w:val="uk-UA"/>
        </w:rPr>
      </w:pPr>
      <w:proofErr w:type="spellStart"/>
      <w:r>
        <w:rPr>
          <w:rFonts w:cs="Times New Roman"/>
          <w:i/>
          <w:szCs w:val="28"/>
          <w:lang w:val="en-US"/>
        </w:rPr>
        <w:t>kolodenkov</w:t>
      </w:r>
      <w:proofErr w:type="spellEnd"/>
      <w:r w:rsidR="005A6A76" w:rsidRPr="00F31B3A">
        <w:rPr>
          <w:rFonts w:cs="Times New Roman"/>
          <w:i/>
          <w:szCs w:val="28"/>
          <w:lang w:val="uk-UA"/>
        </w:rPr>
        <w:t>@</w:t>
      </w:r>
      <w:proofErr w:type="spellStart"/>
      <w:r w:rsidR="005A6A76" w:rsidRPr="007B73F3">
        <w:rPr>
          <w:rFonts w:cs="Times New Roman"/>
          <w:i/>
          <w:szCs w:val="28"/>
          <w:lang w:val="en-US"/>
        </w:rPr>
        <w:t>ukr</w:t>
      </w:r>
      <w:proofErr w:type="spellEnd"/>
      <w:r w:rsidR="005A6A76" w:rsidRPr="00F31B3A">
        <w:rPr>
          <w:rFonts w:cs="Times New Roman"/>
          <w:i/>
          <w:szCs w:val="28"/>
          <w:lang w:val="uk-UA"/>
        </w:rPr>
        <w:t>.</w:t>
      </w:r>
      <w:r w:rsidR="005A6A76" w:rsidRPr="007B73F3">
        <w:rPr>
          <w:rFonts w:cs="Times New Roman"/>
          <w:i/>
          <w:szCs w:val="28"/>
          <w:lang w:val="en-US"/>
        </w:rPr>
        <w:t>net</w:t>
      </w:r>
    </w:p>
    <w:p w:rsidR="005A6A76" w:rsidRPr="00F31B3A" w:rsidRDefault="005A6A76" w:rsidP="005A6A76">
      <w:pPr>
        <w:spacing w:after="0" w:line="360" w:lineRule="auto"/>
        <w:ind w:firstLine="708"/>
        <w:jc w:val="both"/>
        <w:rPr>
          <w:lang w:val="uk-UA"/>
        </w:rPr>
      </w:pPr>
    </w:p>
    <w:p w:rsidR="007261CE" w:rsidRPr="007261CE" w:rsidRDefault="007261CE" w:rsidP="005A6A76">
      <w:pPr>
        <w:spacing w:after="0" w:line="360" w:lineRule="auto"/>
        <w:ind w:firstLine="708"/>
        <w:jc w:val="both"/>
        <w:rPr>
          <w:b/>
          <w:lang w:val="uk-UA"/>
        </w:rPr>
      </w:pPr>
      <w:r w:rsidRPr="007261CE">
        <w:rPr>
          <w:b/>
          <w:lang w:val="uk-UA"/>
        </w:rPr>
        <w:t xml:space="preserve">Введення. </w:t>
      </w:r>
    </w:p>
    <w:p w:rsidR="00BF5F79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Медико-соціальна значимість патології </w:t>
      </w:r>
      <w:r w:rsidR="00A16481">
        <w:rPr>
          <w:lang w:val="uk-UA"/>
        </w:rPr>
        <w:t xml:space="preserve">хребта з </w:t>
      </w:r>
      <w:proofErr w:type="spellStart"/>
      <w:r w:rsidR="00A16481">
        <w:rPr>
          <w:lang w:val="uk-UA"/>
        </w:rPr>
        <w:t>дегенеративно</w:t>
      </w:r>
      <w:proofErr w:type="spellEnd"/>
      <w:r w:rsidR="00A16481">
        <w:rPr>
          <w:lang w:val="uk-UA"/>
        </w:rPr>
        <w:t xml:space="preserve">-деструктивними порушеннями </w:t>
      </w:r>
      <w:proofErr w:type="spellStart"/>
      <w:r w:rsidR="00A16481">
        <w:rPr>
          <w:lang w:val="uk-UA"/>
        </w:rPr>
        <w:t>міжхребцевих</w:t>
      </w:r>
      <w:proofErr w:type="spellEnd"/>
      <w:r w:rsidR="00A16481">
        <w:rPr>
          <w:lang w:val="uk-UA"/>
        </w:rPr>
        <w:t xml:space="preserve"> сегментів хребта </w:t>
      </w:r>
      <w:r>
        <w:rPr>
          <w:lang w:val="uk-UA"/>
        </w:rPr>
        <w:t xml:space="preserve">полягає в достатньо високому рівні розповсюдженості серед населення, поліморфізмом клінічних проявів, </w:t>
      </w:r>
      <w:proofErr w:type="spellStart"/>
      <w:r>
        <w:rPr>
          <w:lang w:val="uk-UA"/>
        </w:rPr>
        <w:t>багатокомпонентністю</w:t>
      </w:r>
      <w:proofErr w:type="spellEnd"/>
      <w:r>
        <w:rPr>
          <w:lang w:val="uk-UA"/>
        </w:rPr>
        <w:t xml:space="preserve"> патогенетичних механізмів та строкатістю клінічного перебігу.</w:t>
      </w:r>
    </w:p>
    <w:p w:rsidR="00BF5F79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Враховуючи складності в діагностиці та визначенні патогенетичних механізмів розвитку патології, </w:t>
      </w:r>
      <w:r w:rsidR="00A16481">
        <w:rPr>
          <w:lang w:val="uk-UA"/>
        </w:rPr>
        <w:t>існуючи на</w:t>
      </w:r>
      <w:r>
        <w:rPr>
          <w:lang w:val="uk-UA"/>
        </w:rPr>
        <w:t xml:space="preserve"> сьогодні методичні підходи, методи профілактики та лікування не забезпечують впровадження в практику ефективних методів лікування та профілактики остеохондрозу.</w:t>
      </w:r>
    </w:p>
    <w:p w:rsidR="007261CE" w:rsidRPr="007261CE" w:rsidRDefault="00061C8D" w:rsidP="005A6A76">
      <w:pPr>
        <w:spacing w:after="0" w:line="360" w:lineRule="auto"/>
        <w:ind w:firstLine="708"/>
        <w:jc w:val="both"/>
        <w:rPr>
          <w:b/>
          <w:lang w:val="uk-UA"/>
        </w:rPr>
      </w:pPr>
      <w:r>
        <w:rPr>
          <w:b/>
          <w:lang w:val="uk-UA"/>
        </w:rPr>
        <w:t xml:space="preserve">Мета </w:t>
      </w:r>
      <w:r w:rsidR="007261CE" w:rsidRPr="007261CE">
        <w:rPr>
          <w:b/>
          <w:lang w:val="uk-UA"/>
        </w:rPr>
        <w:t>дослідження.</w:t>
      </w:r>
    </w:p>
    <w:p w:rsidR="00BF5F79" w:rsidRDefault="00061C8D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Метою </w:t>
      </w:r>
      <w:r w:rsidR="00BF5F79">
        <w:rPr>
          <w:lang w:val="uk-UA"/>
        </w:rPr>
        <w:t xml:space="preserve">даної роботи полягає в вивченні особливостей патогенетичних механізмів розвитку </w:t>
      </w:r>
      <w:proofErr w:type="spellStart"/>
      <w:r w:rsidR="00BF5F79">
        <w:rPr>
          <w:lang w:val="uk-UA"/>
        </w:rPr>
        <w:t>деструктивно</w:t>
      </w:r>
      <w:proofErr w:type="spellEnd"/>
      <w:r w:rsidR="00BF5F79">
        <w:rPr>
          <w:lang w:val="uk-UA"/>
        </w:rPr>
        <w:t>-дегенеративних змін серед робітників підприємств залізничного транспорту, та розробка на основі методів імпульсної магнітної стимуляції лікувально-реабілітаційних комплексів (ЛРК) для лікування остеохондрозу хребта ускладненого больовим синдромом.</w:t>
      </w:r>
    </w:p>
    <w:p w:rsidR="00A16481" w:rsidRDefault="00BF5F79" w:rsidP="00F31B3A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ab/>
      </w:r>
    </w:p>
    <w:p w:rsidR="00A16481" w:rsidRDefault="00A16481" w:rsidP="00F31B3A">
      <w:pPr>
        <w:spacing w:after="0" w:line="360" w:lineRule="auto"/>
        <w:jc w:val="both"/>
        <w:rPr>
          <w:lang w:val="uk-UA"/>
        </w:rPr>
      </w:pPr>
    </w:p>
    <w:p w:rsidR="00A16481" w:rsidRDefault="00A16481" w:rsidP="00F31B3A">
      <w:pPr>
        <w:spacing w:after="0" w:line="360" w:lineRule="auto"/>
        <w:jc w:val="both"/>
        <w:rPr>
          <w:lang w:val="uk-UA"/>
        </w:rPr>
      </w:pPr>
    </w:p>
    <w:p w:rsidR="007261CE" w:rsidRPr="007261CE" w:rsidRDefault="007261CE" w:rsidP="00A16481">
      <w:pPr>
        <w:spacing w:after="0" w:line="360" w:lineRule="auto"/>
        <w:ind w:firstLine="708"/>
        <w:jc w:val="both"/>
        <w:rPr>
          <w:b/>
          <w:lang w:val="uk-UA"/>
        </w:rPr>
      </w:pPr>
      <w:r w:rsidRPr="007261CE">
        <w:rPr>
          <w:b/>
          <w:lang w:val="uk-UA"/>
        </w:rPr>
        <w:lastRenderedPageBreak/>
        <w:t xml:space="preserve">Матеріали та методи дослідження. </w:t>
      </w:r>
    </w:p>
    <w:p w:rsidR="00BF5F79" w:rsidRDefault="00BF5F79" w:rsidP="007261CE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Дослідження проводили на групі пацієнтів (монтери шляхів) 75 </w:t>
      </w:r>
      <w:proofErr w:type="spellStart"/>
      <w:r>
        <w:rPr>
          <w:lang w:val="uk-UA"/>
        </w:rPr>
        <w:t>чол</w:t>
      </w:r>
      <w:proofErr w:type="spellEnd"/>
      <w:r>
        <w:rPr>
          <w:lang w:val="uk-UA"/>
        </w:rPr>
        <w:t xml:space="preserve">., стандартизованих за віком (45-55 років), статі, характеру та стажу трудової діяльності. </w:t>
      </w:r>
    </w:p>
    <w:p w:rsidR="00BF5F79" w:rsidRDefault="00BF5F79" w:rsidP="005A6A76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ab/>
        <w:t xml:space="preserve">Вивчення патогенетичних особливостей розвитку патології та характеру дії ЛРК, з використанням імпульсної магнітної стимуляції на стан здоров’я пацієнтів, проводили за матеріалами клінічних  обстежень даних допплерографії судин та матеріалам </w:t>
      </w:r>
      <w:proofErr w:type="spellStart"/>
      <w:r>
        <w:rPr>
          <w:lang w:val="uk-UA"/>
        </w:rPr>
        <w:t>електронейроміографії</w:t>
      </w:r>
      <w:proofErr w:type="spellEnd"/>
      <w:r>
        <w:rPr>
          <w:lang w:val="uk-UA"/>
        </w:rPr>
        <w:t xml:space="preserve"> нижніх кінцівок.</w:t>
      </w:r>
    </w:p>
    <w:p w:rsidR="00BF5F79" w:rsidRDefault="00BF5F79" w:rsidP="005A6A76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ab/>
        <w:t xml:space="preserve">Аналіз матеріалів результатів дослідження показав, що у 100% пацієнтів відмічався ішіас </w:t>
      </w:r>
      <w:proofErr w:type="spellStart"/>
      <w:r>
        <w:rPr>
          <w:lang w:val="uk-UA"/>
        </w:rPr>
        <w:t>радікулярний</w:t>
      </w:r>
      <w:proofErr w:type="spellEnd"/>
      <w:r>
        <w:rPr>
          <w:lang w:val="uk-UA"/>
        </w:rPr>
        <w:t xml:space="preserve"> синдром.</w:t>
      </w:r>
    </w:p>
    <w:p w:rsidR="00BF5F79" w:rsidRPr="008B79BB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При цьому, у всіх хворих мали місце клінічні симптоми порушення функціонального стану опоро-рухового апарату (95% біль в спині, 100% парестезії та </w:t>
      </w:r>
      <w:proofErr w:type="spellStart"/>
      <w:r>
        <w:rPr>
          <w:lang w:val="uk-UA"/>
        </w:rPr>
        <w:t>гіперчутливість</w:t>
      </w:r>
      <w:proofErr w:type="spellEnd"/>
      <w:r>
        <w:rPr>
          <w:lang w:val="uk-UA"/>
        </w:rPr>
        <w:t xml:space="preserve"> – 67%, симптом </w:t>
      </w:r>
      <w:proofErr w:type="spellStart"/>
      <w:r>
        <w:rPr>
          <w:lang w:val="uk-UA"/>
        </w:rPr>
        <w:t>Ласего</w:t>
      </w:r>
      <w:proofErr w:type="spellEnd"/>
      <w:r>
        <w:rPr>
          <w:lang w:val="uk-UA"/>
        </w:rPr>
        <w:t xml:space="preserve"> </w:t>
      </w:r>
      <w:r w:rsidRPr="00EA4619">
        <w:rPr>
          <w:rFonts w:cs="Times New Roman"/>
          <w:lang w:val="uk-UA"/>
        </w:rPr>
        <w:t>&lt;</w:t>
      </w:r>
      <w:r w:rsidRPr="00EA4619">
        <w:rPr>
          <w:lang w:val="uk-UA"/>
        </w:rPr>
        <w:t>30%).</w:t>
      </w:r>
    </w:p>
    <w:p w:rsidR="00BF5F79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Об’єктивно, характер клінічних проявів знаходився в залежності від функціонального стану спинномозкових нервів та гемодинаміки в міжхребцевих сегментах хребта (зниження швидкості розповсюдження нервових імпульсів, збільшення термінальної латентності та підвищення спротиву судинних стінок).</w:t>
      </w:r>
    </w:p>
    <w:p w:rsidR="005A6A76" w:rsidRPr="005A6A76" w:rsidRDefault="005A6A76" w:rsidP="00061C8D">
      <w:pPr>
        <w:spacing w:after="0" w:line="360" w:lineRule="auto"/>
        <w:ind w:firstLine="708"/>
        <w:rPr>
          <w:b/>
          <w:lang w:val="uk-UA"/>
        </w:rPr>
      </w:pPr>
      <w:r w:rsidRPr="005A6A76">
        <w:rPr>
          <w:b/>
          <w:lang w:val="uk-UA"/>
        </w:rPr>
        <w:t>Висновки:</w:t>
      </w:r>
    </w:p>
    <w:p w:rsidR="00BF5F79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Встановлено, що імпульсна магнітна стимуляція забезпечує потенціюючу дію комплексних лікувальних факторів на здоров’я пацієнтів.</w:t>
      </w:r>
    </w:p>
    <w:p w:rsidR="00BF5F79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У пацієнтів, які отримували ЛРК в поєднанні з імпульсною магнітною стимуляцією відмічалися виражені позитивні зміни в</w:t>
      </w:r>
      <w:r w:rsidR="00A16481">
        <w:rPr>
          <w:lang w:val="uk-UA"/>
        </w:rPr>
        <w:t xml:space="preserve"> функціональному </w:t>
      </w:r>
      <w:r>
        <w:rPr>
          <w:lang w:val="uk-UA"/>
        </w:rPr>
        <w:t xml:space="preserve">стані </w:t>
      </w:r>
      <w:r w:rsidRPr="00AC7F0F">
        <w:rPr>
          <w:rFonts w:cs="Times New Roman"/>
          <w:szCs w:val="28"/>
          <w:lang w:val="en-US"/>
        </w:rPr>
        <w:t>N</w:t>
      </w:r>
      <w:r w:rsidRPr="00AC7F0F">
        <w:rPr>
          <w:rFonts w:cs="Times New Roman"/>
          <w:szCs w:val="28"/>
          <w:lang w:val="uk-UA"/>
        </w:rPr>
        <w:t>.</w:t>
      </w:r>
      <w:proofErr w:type="spellStart"/>
      <w:r w:rsidRPr="00AC7F0F">
        <w:rPr>
          <w:rFonts w:cs="Times New Roman"/>
          <w:szCs w:val="28"/>
          <w:lang w:val="en-US"/>
        </w:rPr>
        <w:t>peroneal</w:t>
      </w:r>
      <w:proofErr w:type="spellEnd"/>
      <w:r w:rsidRPr="00AC7F0F">
        <w:rPr>
          <w:rFonts w:cs="Times New Roman"/>
          <w:szCs w:val="28"/>
          <w:lang w:val="uk-UA"/>
        </w:rPr>
        <w:t xml:space="preserve">, </w:t>
      </w:r>
      <w:r w:rsidRPr="00AC7F0F">
        <w:rPr>
          <w:rFonts w:cs="Times New Roman"/>
          <w:szCs w:val="28"/>
          <w:lang w:val="en-US"/>
        </w:rPr>
        <w:t>N</w:t>
      </w:r>
      <w:r w:rsidRPr="00AC7F0F">
        <w:rPr>
          <w:rFonts w:cs="Times New Roman"/>
          <w:szCs w:val="28"/>
          <w:lang w:val="uk-UA"/>
        </w:rPr>
        <w:t>.</w:t>
      </w:r>
      <w:proofErr w:type="spellStart"/>
      <w:r w:rsidRPr="00AC7F0F">
        <w:rPr>
          <w:rFonts w:cs="Times New Roman"/>
          <w:szCs w:val="28"/>
          <w:lang w:val="en-US"/>
        </w:rPr>
        <w:t>tibial</w:t>
      </w:r>
      <w:proofErr w:type="spellEnd"/>
      <w:r w:rsidRPr="00772790">
        <w:rPr>
          <w:rFonts w:cs="Times New Roman"/>
          <w:szCs w:val="28"/>
          <w:lang w:val="uk-UA"/>
        </w:rPr>
        <w:t>,</w:t>
      </w:r>
      <w:r w:rsidRPr="00772790">
        <w:rPr>
          <w:lang w:val="uk-UA"/>
        </w:rPr>
        <w:t xml:space="preserve"> </w:t>
      </w:r>
      <w:r w:rsidR="00A16481">
        <w:rPr>
          <w:lang w:val="uk-UA"/>
        </w:rPr>
        <w:t>(</w:t>
      </w:r>
      <w:r>
        <w:rPr>
          <w:lang w:val="uk-UA"/>
        </w:rPr>
        <w:t xml:space="preserve">збільшення швидкості розповсюдження хвилі (ШРХ), амплітуди електропотенціалу </w:t>
      </w:r>
      <w:r w:rsidRPr="00772790">
        <w:rPr>
          <w:lang w:val="uk-UA"/>
        </w:rPr>
        <w:t>(М-</w:t>
      </w:r>
      <w:r>
        <w:rPr>
          <w:lang w:val="uk-UA"/>
        </w:rPr>
        <w:t>відповідь</w:t>
      </w:r>
      <w:r w:rsidRPr="00772790">
        <w:rPr>
          <w:lang w:val="uk-UA"/>
        </w:rPr>
        <w:t>),</w:t>
      </w:r>
      <w:r>
        <w:rPr>
          <w:lang w:val="uk-UA"/>
        </w:rPr>
        <w:t xml:space="preserve"> зниження латентного періоду виникнення хвилі </w:t>
      </w:r>
      <w:r w:rsidR="00A16481">
        <w:rPr>
          <w:lang w:val="uk-UA"/>
        </w:rPr>
        <w:t xml:space="preserve">та гемодинаміки нижніх кінцівок). </w:t>
      </w:r>
    </w:p>
    <w:p w:rsidR="00BF5F79" w:rsidRDefault="00BF5F79" w:rsidP="005A6A76">
      <w:pPr>
        <w:spacing w:after="0" w:line="360" w:lineRule="auto"/>
        <w:ind w:firstLine="708"/>
        <w:jc w:val="both"/>
        <w:rPr>
          <w:szCs w:val="28"/>
          <w:lang w:val="uk-UA"/>
        </w:rPr>
      </w:pPr>
      <w:r>
        <w:rPr>
          <w:lang w:val="uk-UA"/>
        </w:rPr>
        <w:t xml:space="preserve">Характер змін таких показників допплерографії, як систолічна та </w:t>
      </w:r>
      <w:proofErr w:type="spellStart"/>
      <w:r>
        <w:rPr>
          <w:lang w:val="uk-UA"/>
        </w:rPr>
        <w:t>діастолічна</w:t>
      </w:r>
      <w:proofErr w:type="spellEnd"/>
      <w:r>
        <w:rPr>
          <w:lang w:val="uk-UA"/>
        </w:rPr>
        <w:t xml:space="preserve"> швидкість </w:t>
      </w:r>
      <w:r w:rsidRPr="004F39CD">
        <w:rPr>
          <w:szCs w:val="28"/>
          <w:lang w:val="uk-UA"/>
        </w:rPr>
        <w:t>(</w:t>
      </w:r>
      <w:proofErr w:type="spellStart"/>
      <w:r w:rsidRPr="007A10DC">
        <w:rPr>
          <w:szCs w:val="28"/>
          <w:lang w:val="en-US"/>
        </w:rPr>
        <w:t>SSmx</w:t>
      </w:r>
      <w:proofErr w:type="spellEnd"/>
      <w:r w:rsidRPr="004F39CD">
        <w:rPr>
          <w:szCs w:val="28"/>
          <w:lang w:val="uk-UA"/>
        </w:rPr>
        <w:t xml:space="preserve">, </w:t>
      </w:r>
      <w:proofErr w:type="spellStart"/>
      <w:r w:rsidRPr="007A10DC">
        <w:rPr>
          <w:szCs w:val="28"/>
          <w:lang w:val="en-US"/>
        </w:rPr>
        <w:t>Xavr</w:t>
      </w:r>
      <w:proofErr w:type="spellEnd"/>
      <w:r w:rsidRPr="004F39CD">
        <w:rPr>
          <w:szCs w:val="28"/>
          <w:lang w:val="uk-UA"/>
        </w:rPr>
        <w:t xml:space="preserve">), а </w:t>
      </w:r>
      <w:r>
        <w:rPr>
          <w:szCs w:val="28"/>
          <w:lang w:val="uk-UA"/>
        </w:rPr>
        <w:t xml:space="preserve">також периферичний спротив судинних стінок </w:t>
      </w:r>
      <w:r w:rsidRPr="004F39CD">
        <w:rPr>
          <w:szCs w:val="28"/>
          <w:lang w:val="uk-UA"/>
        </w:rPr>
        <w:t>(</w:t>
      </w:r>
      <w:proofErr w:type="spellStart"/>
      <w:r w:rsidRPr="007A10DC">
        <w:rPr>
          <w:szCs w:val="28"/>
          <w:lang w:val="en-US"/>
        </w:rPr>
        <w:t>Ri</w:t>
      </w:r>
      <w:proofErr w:type="spellEnd"/>
      <w:r w:rsidRPr="004F39CD">
        <w:rPr>
          <w:szCs w:val="28"/>
          <w:lang w:val="uk-UA"/>
        </w:rPr>
        <w:t xml:space="preserve">, </w:t>
      </w:r>
      <w:r w:rsidRPr="007A10DC">
        <w:rPr>
          <w:szCs w:val="28"/>
          <w:lang w:val="en-US"/>
        </w:rPr>
        <w:t>Pi</w:t>
      </w:r>
      <w:r w:rsidRPr="004F39CD">
        <w:rPr>
          <w:szCs w:val="28"/>
          <w:lang w:val="uk-UA"/>
        </w:rPr>
        <w:t xml:space="preserve">) </w:t>
      </w:r>
      <w:r>
        <w:rPr>
          <w:szCs w:val="28"/>
          <w:lang w:val="uk-UA"/>
        </w:rPr>
        <w:t xml:space="preserve">свідчать про формування в організмі хворих саногенетичних </w:t>
      </w:r>
      <w:r>
        <w:rPr>
          <w:szCs w:val="28"/>
          <w:lang w:val="uk-UA"/>
        </w:rPr>
        <w:lastRenderedPageBreak/>
        <w:t>механізмів</w:t>
      </w:r>
      <w:r w:rsidR="00A16481">
        <w:rPr>
          <w:szCs w:val="28"/>
          <w:lang w:val="uk-UA"/>
        </w:rPr>
        <w:t xml:space="preserve">, які забезпечують </w:t>
      </w:r>
      <w:r>
        <w:rPr>
          <w:szCs w:val="28"/>
          <w:lang w:val="uk-UA"/>
        </w:rPr>
        <w:t>покращення функціонального стану периферичного кровотоку.</w:t>
      </w:r>
    </w:p>
    <w:p w:rsidR="00BF5F79" w:rsidRDefault="00BF5F79" w:rsidP="005A6A76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Відновлення функції чутливих нейронів в складі спинномозкових нервів дозволило </w:t>
      </w:r>
      <w:r w:rsidR="00A16481">
        <w:rPr>
          <w:lang w:val="uk-UA"/>
        </w:rPr>
        <w:t>в 100% хворих досягти</w:t>
      </w:r>
      <w:r>
        <w:rPr>
          <w:lang w:val="uk-UA"/>
        </w:rPr>
        <w:t xml:space="preserve"> стійкої ремісії по больовому синдромі, відновлення чутливості та функціональних можливостей опоро-рухового апарату.</w:t>
      </w:r>
    </w:p>
    <w:p w:rsidR="00BF5F79" w:rsidRPr="004F39CD" w:rsidRDefault="00BF5F79" w:rsidP="005A6A76">
      <w:pPr>
        <w:spacing w:after="0" w:line="360" w:lineRule="auto"/>
        <w:ind w:firstLine="708"/>
        <w:jc w:val="both"/>
        <w:rPr>
          <w:lang w:val="uk-UA"/>
        </w:rPr>
      </w:pPr>
    </w:p>
    <w:p w:rsidR="00D8426F" w:rsidRPr="00061C8D" w:rsidRDefault="007261CE" w:rsidP="007261CE">
      <w:pPr>
        <w:spacing w:after="0" w:line="360" w:lineRule="auto"/>
        <w:jc w:val="center"/>
        <w:rPr>
          <w:b/>
          <w:lang w:val="uk-UA"/>
        </w:rPr>
      </w:pPr>
      <w:r w:rsidRPr="007261CE">
        <w:rPr>
          <w:b/>
          <w:lang w:val="en-US"/>
        </w:rPr>
        <w:t>Summary</w:t>
      </w:r>
      <w:r w:rsidR="00061C8D">
        <w:rPr>
          <w:b/>
          <w:lang w:val="uk-UA"/>
        </w:rPr>
        <w:t>.</w:t>
      </w:r>
    </w:p>
    <w:p w:rsidR="00A16481" w:rsidRDefault="00A16481" w:rsidP="007261CE">
      <w:pPr>
        <w:spacing w:after="0" w:line="360" w:lineRule="auto"/>
        <w:ind w:firstLine="708"/>
        <w:jc w:val="both"/>
        <w:rPr>
          <w:lang w:val="en-US"/>
        </w:rPr>
      </w:pPr>
      <w:r w:rsidRPr="00A16481">
        <w:rPr>
          <w:lang w:val="en-US"/>
        </w:rPr>
        <w:t>Restoring the function of sensory neurons in the part of the spinal nerves allowed in 100% of patients achieved sustained remission in pain syndrome, restoration of sensitivity and functionality resistance musculoskeletal system.</w:t>
      </w:r>
    </w:p>
    <w:p w:rsidR="00A16481" w:rsidRDefault="00A16481" w:rsidP="007261CE">
      <w:pPr>
        <w:spacing w:after="0" w:line="360" w:lineRule="auto"/>
        <w:ind w:firstLine="708"/>
        <w:jc w:val="both"/>
        <w:rPr>
          <w:lang w:val="en-US"/>
        </w:rPr>
      </w:pPr>
    </w:p>
    <w:p w:rsidR="00A16481" w:rsidRDefault="00A16481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Default="007261CE" w:rsidP="007261CE">
      <w:pPr>
        <w:spacing w:after="0" w:line="360" w:lineRule="auto"/>
        <w:ind w:firstLine="708"/>
        <w:jc w:val="both"/>
        <w:rPr>
          <w:lang w:val="en-US"/>
        </w:rPr>
      </w:pPr>
    </w:p>
    <w:p w:rsidR="00F31B3A" w:rsidRDefault="00F31B3A" w:rsidP="007261CE">
      <w:pPr>
        <w:spacing w:after="0" w:line="360" w:lineRule="auto"/>
        <w:ind w:firstLine="708"/>
        <w:jc w:val="both"/>
        <w:rPr>
          <w:lang w:val="en-US"/>
        </w:rPr>
      </w:pPr>
    </w:p>
    <w:p w:rsidR="00F31B3A" w:rsidRDefault="00F31B3A" w:rsidP="007261CE">
      <w:pPr>
        <w:spacing w:after="0" w:line="360" w:lineRule="auto"/>
        <w:ind w:firstLine="708"/>
        <w:jc w:val="both"/>
        <w:rPr>
          <w:lang w:val="en-US"/>
        </w:rPr>
      </w:pPr>
    </w:p>
    <w:p w:rsidR="00F31B3A" w:rsidRDefault="00F31B3A" w:rsidP="007261CE">
      <w:pPr>
        <w:spacing w:after="0" w:line="360" w:lineRule="auto"/>
        <w:ind w:firstLine="708"/>
        <w:jc w:val="both"/>
        <w:rPr>
          <w:lang w:val="en-US"/>
        </w:rPr>
      </w:pPr>
    </w:p>
    <w:p w:rsidR="007261CE" w:rsidRPr="00C8718B" w:rsidRDefault="007261CE" w:rsidP="007261CE">
      <w:pPr>
        <w:spacing w:line="240" w:lineRule="auto"/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lastRenderedPageBreak/>
        <w:t>Література</w:t>
      </w:r>
    </w:p>
    <w:p w:rsidR="007261CE" w:rsidRDefault="007261CE" w:rsidP="007261CE">
      <w:pPr>
        <w:spacing w:after="0"/>
        <w:jc w:val="both"/>
        <w:rPr>
          <w:rFonts w:cs="Times New Roman"/>
          <w:szCs w:val="28"/>
        </w:rPr>
      </w:pPr>
    </w:p>
    <w:p w:rsidR="007261CE" w:rsidRPr="009D656D" w:rsidRDefault="00BA3E38" w:rsidP="007261C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uk-UA"/>
        </w:rPr>
        <w:t>1</w:t>
      </w:r>
      <w:r w:rsidR="007261CE">
        <w:rPr>
          <w:rFonts w:cs="Times New Roman"/>
          <w:szCs w:val="28"/>
        </w:rPr>
        <w:t xml:space="preserve">. </w:t>
      </w:r>
      <w:proofErr w:type="spellStart"/>
      <w:r w:rsidR="007261CE" w:rsidRPr="009D656D">
        <w:rPr>
          <w:rFonts w:cs="Times New Roman"/>
          <w:szCs w:val="28"/>
        </w:rPr>
        <w:t>Попелянский</w:t>
      </w:r>
      <w:proofErr w:type="spellEnd"/>
      <w:r w:rsidR="007261CE" w:rsidRPr="009D656D">
        <w:rPr>
          <w:rFonts w:cs="Times New Roman"/>
          <w:szCs w:val="28"/>
        </w:rPr>
        <w:t xml:space="preserve"> Я.Ю. Ортопедическая неврология (</w:t>
      </w:r>
      <w:proofErr w:type="spellStart"/>
      <w:r w:rsidR="007261CE" w:rsidRPr="009D656D">
        <w:rPr>
          <w:rFonts w:cs="Times New Roman"/>
          <w:szCs w:val="28"/>
        </w:rPr>
        <w:t>вертеброневрология</w:t>
      </w:r>
      <w:proofErr w:type="spellEnd"/>
      <w:r w:rsidR="007261CE" w:rsidRPr="009D656D">
        <w:rPr>
          <w:rFonts w:cs="Times New Roman"/>
          <w:szCs w:val="28"/>
        </w:rPr>
        <w:t xml:space="preserve">): Руководство для врачей. – М.: </w:t>
      </w:r>
      <w:proofErr w:type="spellStart"/>
      <w:r w:rsidR="007261CE" w:rsidRPr="009D656D">
        <w:rPr>
          <w:rFonts w:cs="Times New Roman"/>
          <w:szCs w:val="28"/>
        </w:rPr>
        <w:t>МЕДпресс-информ</w:t>
      </w:r>
      <w:proofErr w:type="spellEnd"/>
      <w:r w:rsidR="007261CE" w:rsidRPr="009D656D">
        <w:rPr>
          <w:rFonts w:cs="Times New Roman"/>
          <w:szCs w:val="28"/>
        </w:rPr>
        <w:t>, 2003. – 670 с.</w:t>
      </w:r>
    </w:p>
    <w:p w:rsidR="007261CE" w:rsidRDefault="007261CE" w:rsidP="007261CE">
      <w:pPr>
        <w:spacing w:after="0"/>
        <w:jc w:val="both"/>
        <w:rPr>
          <w:rFonts w:cs="Times New Roman"/>
          <w:szCs w:val="28"/>
        </w:rPr>
      </w:pPr>
    </w:p>
    <w:p w:rsidR="007261CE" w:rsidRPr="009D656D" w:rsidRDefault="00BA3E38" w:rsidP="007261CE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uk-UA"/>
        </w:rPr>
        <w:t>2</w:t>
      </w:r>
      <w:r w:rsidR="007261CE">
        <w:rPr>
          <w:rFonts w:cs="Times New Roman"/>
          <w:szCs w:val="28"/>
        </w:rPr>
        <w:t xml:space="preserve">. </w:t>
      </w:r>
      <w:proofErr w:type="spellStart"/>
      <w:r w:rsidR="007261CE" w:rsidRPr="009D656D">
        <w:rPr>
          <w:rFonts w:cs="Times New Roman"/>
          <w:szCs w:val="28"/>
        </w:rPr>
        <w:t>Попелянский</w:t>
      </w:r>
      <w:proofErr w:type="spellEnd"/>
      <w:r w:rsidR="007261CE" w:rsidRPr="009D656D">
        <w:rPr>
          <w:rFonts w:cs="Times New Roman"/>
          <w:szCs w:val="28"/>
        </w:rPr>
        <w:t xml:space="preserve"> Я.Ю. Болезни периферической нервной системы: Руководство для врачей. – М.: </w:t>
      </w:r>
      <w:proofErr w:type="spellStart"/>
      <w:r w:rsidR="007261CE" w:rsidRPr="009D656D">
        <w:rPr>
          <w:rFonts w:cs="Times New Roman"/>
          <w:szCs w:val="28"/>
        </w:rPr>
        <w:t>МЕДпресс-информ</w:t>
      </w:r>
      <w:proofErr w:type="spellEnd"/>
      <w:r w:rsidR="007261CE" w:rsidRPr="009D656D">
        <w:rPr>
          <w:rFonts w:cs="Times New Roman"/>
          <w:szCs w:val="28"/>
        </w:rPr>
        <w:t>, 2005. – 368 с.</w:t>
      </w:r>
    </w:p>
    <w:p w:rsidR="007261CE" w:rsidRDefault="007261CE" w:rsidP="007261CE">
      <w:pPr>
        <w:spacing w:after="0"/>
        <w:jc w:val="both"/>
        <w:rPr>
          <w:rFonts w:cs="Times New Roman"/>
          <w:color w:val="000000"/>
          <w:szCs w:val="28"/>
        </w:rPr>
      </w:pPr>
    </w:p>
    <w:p w:rsidR="007261CE" w:rsidRDefault="00BA3E38" w:rsidP="007261CE">
      <w:pPr>
        <w:spacing w:after="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uk-UA"/>
        </w:rPr>
        <w:t>3</w:t>
      </w:r>
      <w:r w:rsidR="007261CE">
        <w:rPr>
          <w:rFonts w:cs="Times New Roman"/>
          <w:color w:val="000000"/>
          <w:szCs w:val="28"/>
        </w:rPr>
        <w:t xml:space="preserve">. </w:t>
      </w:r>
      <w:r w:rsidR="007261CE" w:rsidRPr="009D656D">
        <w:rPr>
          <w:rFonts w:cs="Times New Roman"/>
          <w:color w:val="000000"/>
          <w:szCs w:val="28"/>
        </w:rPr>
        <w:t xml:space="preserve">Ролик И.С., Галанов В.П. Грыжи межпозвонковых дисков </w:t>
      </w:r>
      <w:proofErr w:type="gramStart"/>
      <w:r w:rsidR="007261CE" w:rsidRPr="009D656D">
        <w:rPr>
          <w:rFonts w:cs="Times New Roman"/>
          <w:color w:val="000000"/>
          <w:szCs w:val="28"/>
        </w:rPr>
        <w:t>поясничного отдела</w:t>
      </w:r>
      <w:proofErr w:type="gramEnd"/>
      <w:r w:rsidR="007261CE" w:rsidRPr="009D656D">
        <w:rPr>
          <w:rFonts w:cs="Times New Roman"/>
          <w:color w:val="000000"/>
          <w:szCs w:val="28"/>
        </w:rPr>
        <w:t xml:space="preserve"> и их биологическая терапия // Биологическая медицина. — 1999. — № 1. — С. 22-31.</w:t>
      </w:r>
    </w:p>
    <w:p w:rsidR="007261CE" w:rsidRDefault="007261CE" w:rsidP="007261CE">
      <w:pPr>
        <w:spacing w:after="0"/>
        <w:jc w:val="both"/>
        <w:rPr>
          <w:rFonts w:cs="Times New Roman"/>
          <w:color w:val="000000"/>
          <w:szCs w:val="28"/>
        </w:rPr>
      </w:pPr>
    </w:p>
    <w:p w:rsidR="007261CE" w:rsidRPr="009D656D" w:rsidRDefault="00BA3E38" w:rsidP="007261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</w:t>
      </w:r>
      <w:r w:rsidR="007261CE">
        <w:rPr>
          <w:color w:val="000000"/>
          <w:sz w:val="28"/>
          <w:szCs w:val="28"/>
        </w:rPr>
        <w:t xml:space="preserve">. </w:t>
      </w:r>
      <w:r w:rsidR="007261CE" w:rsidRPr="009D656D">
        <w:rPr>
          <w:color w:val="000000"/>
          <w:sz w:val="28"/>
          <w:szCs w:val="28"/>
        </w:rPr>
        <w:t xml:space="preserve">Яцкевич Я.Е., Яцкевич А.Я., </w:t>
      </w:r>
      <w:proofErr w:type="spellStart"/>
      <w:r w:rsidR="007261CE" w:rsidRPr="009D656D">
        <w:rPr>
          <w:color w:val="000000"/>
          <w:sz w:val="28"/>
          <w:szCs w:val="28"/>
        </w:rPr>
        <w:t>Телишевский</w:t>
      </w:r>
      <w:proofErr w:type="spellEnd"/>
      <w:r w:rsidR="007261CE" w:rsidRPr="009D656D">
        <w:rPr>
          <w:color w:val="000000"/>
          <w:sz w:val="28"/>
          <w:szCs w:val="28"/>
        </w:rPr>
        <w:t xml:space="preserve"> Ю.Г., </w:t>
      </w:r>
      <w:proofErr w:type="spellStart"/>
      <w:r w:rsidR="007261CE" w:rsidRPr="009D656D">
        <w:rPr>
          <w:color w:val="000000"/>
          <w:sz w:val="28"/>
          <w:szCs w:val="28"/>
        </w:rPr>
        <w:t>Стасюк</w:t>
      </w:r>
      <w:proofErr w:type="spellEnd"/>
      <w:r w:rsidR="007261CE" w:rsidRPr="009D656D">
        <w:rPr>
          <w:color w:val="000000"/>
          <w:sz w:val="28"/>
          <w:szCs w:val="28"/>
        </w:rPr>
        <w:t xml:space="preserve"> М.Ю. </w:t>
      </w:r>
      <w:proofErr w:type="spellStart"/>
      <w:r w:rsidR="007261CE" w:rsidRPr="009D656D">
        <w:rPr>
          <w:color w:val="000000"/>
          <w:sz w:val="28"/>
          <w:szCs w:val="28"/>
        </w:rPr>
        <w:t>Патогенетически</w:t>
      </w:r>
      <w:proofErr w:type="spellEnd"/>
      <w:r w:rsidR="007261CE" w:rsidRPr="009D656D">
        <w:rPr>
          <w:color w:val="000000"/>
          <w:sz w:val="28"/>
          <w:szCs w:val="28"/>
        </w:rPr>
        <w:t xml:space="preserve"> направленная медикаментозная терапия деструктивно-дистрофических заболеваний позвоночника и суставов // Методические рекомендации МЗ Украины. — 2005. — 25 с.</w:t>
      </w:r>
    </w:p>
    <w:p w:rsidR="007261CE" w:rsidRPr="00E320A5" w:rsidRDefault="007261CE" w:rsidP="007261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261CE" w:rsidRPr="009D656D" w:rsidRDefault="00BA3E38" w:rsidP="007261CE">
      <w:pPr>
        <w:spacing w:after="0"/>
        <w:jc w:val="both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uk-UA"/>
        </w:rPr>
        <w:t>5</w:t>
      </w:r>
      <w:r w:rsidR="007261CE" w:rsidRPr="009A5DB3">
        <w:rPr>
          <w:rFonts w:cs="Times New Roman"/>
          <w:szCs w:val="28"/>
          <w:lang w:val="en-US"/>
        </w:rPr>
        <w:t xml:space="preserve">. </w:t>
      </w:r>
      <w:proofErr w:type="spellStart"/>
      <w:r w:rsidR="007261CE">
        <w:rPr>
          <w:rFonts w:cs="Times New Roman"/>
          <w:szCs w:val="28"/>
          <w:lang w:val="en-US"/>
        </w:rPr>
        <w:t>Breivik</w:t>
      </w:r>
      <w:proofErr w:type="spellEnd"/>
      <w:r w:rsidR="007261CE">
        <w:rPr>
          <w:rFonts w:cs="Times New Roman"/>
          <w:szCs w:val="28"/>
          <w:lang w:val="en-US"/>
        </w:rPr>
        <w:t xml:space="preserve"> H., </w:t>
      </w:r>
      <w:proofErr w:type="spellStart"/>
      <w:r w:rsidR="007261CE">
        <w:rPr>
          <w:rFonts w:cs="Times New Roman"/>
          <w:szCs w:val="28"/>
          <w:lang w:val="en-US"/>
        </w:rPr>
        <w:t>Borehgrevink</w:t>
      </w:r>
      <w:proofErr w:type="spellEnd"/>
      <w:r w:rsidR="007261CE">
        <w:rPr>
          <w:rFonts w:cs="Times New Roman"/>
          <w:szCs w:val="28"/>
          <w:lang w:val="en-US"/>
        </w:rPr>
        <w:t xml:space="preserve"> P.C., Allen S.M. et al. Assessment of pain </w:t>
      </w:r>
      <w:r w:rsidR="007261CE" w:rsidRPr="009D656D">
        <w:rPr>
          <w:rFonts w:cs="Times New Roman"/>
          <w:szCs w:val="28"/>
          <w:lang w:val="en-US"/>
        </w:rPr>
        <w:t>//</w:t>
      </w:r>
      <w:r w:rsidR="007261CE">
        <w:rPr>
          <w:rFonts w:cs="Times New Roman"/>
          <w:szCs w:val="28"/>
          <w:lang w:val="en-US"/>
        </w:rPr>
        <w:t xml:space="preserve"> British Journal of Anesthesia. – 2008. – 101 (1). – P. 17-24. </w:t>
      </w:r>
    </w:p>
    <w:p w:rsidR="007261CE" w:rsidRDefault="007261CE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en-US" w:eastAsia="ru-RU"/>
        </w:rPr>
      </w:pPr>
    </w:p>
    <w:p w:rsidR="007261CE" w:rsidRDefault="00BA3E38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uk-UA" w:eastAsia="ru-RU"/>
        </w:rPr>
      </w:pPr>
      <w:r>
        <w:rPr>
          <w:rFonts w:eastAsia="Times New Roman" w:cs="Times New Roman"/>
          <w:color w:val="000000"/>
          <w:szCs w:val="28"/>
          <w:lang w:val="en-US" w:eastAsia="ru-RU"/>
        </w:rPr>
        <w:t>6</w:t>
      </w:r>
      <w:r w:rsidR="007261CE" w:rsidRPr="009A5DB3">
        <w:rPr>
          <w:rFonts w:eastAsia="Times New Roman" w:cs="Times New Roman"/>
          <w:color w:val="000000"/>
          <w:szCs w:val="28"/>
          <w:lang w:val="en-US" w:eastAsia="ru-RU"/>
        </w:rPr>
        <w:t xml:space="preserve">. </w:t>
      </w:r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Wassermann E.M. Therapeutic application of repetitive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transcranial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 magnetic stimulation: a review / Wassermann E.M.,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Lisanby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 S.H. //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Clin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.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Neurophysiol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. — 2011. — № 112. — 1367-1377.</w:t>
      </w:r>
    </w:p>
    <w:p w:rsidR="007261CE" w:rsidRDefault="007261CE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uk-UA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BA3E38" w:rsidRDefault="00BA3E38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  <w:r w:rsidRPr="00226200">
        <w:rPr>
          <w:rFonts w:eastAsia="Times New Roman" w:cs="Times New Roman"/>
          <w:b/>
          <w:color w:val="000000"/>
          <w:szCs w:val="28"/>
          <w:lang w:val="en-US" w:eastAsia="ru-RU"/>
        </w:rPr>
        <w:lastRenderedPageBreak/>
        <w:t>Reference</w:t>
      </w:r>
      <w:r>
        <w:rPr>
          <w:rFonts w:eastAsia="Times New Roman" w:cs="Times New Roman"/>
          <w:b/>
          <w:color w:val="000000"/>
          <w:szCs w:val="28"/>
          <w:lang w:val="en-US" w:eastAsia="ru-RU"/>
        </w:rPr>
        <w:t>s</w:t>
      </w:r>
    </w:p>
    <w:p w:rsidR="007261CE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Pr="00201E13" w:rsidRDefault="007261CE" w:rsidP="007261CE">
      <w:pPr>
        <w:spacing w:after="0"/>
        <w:jc w:val="both"/>
        <w:rPr>
          <w:rFonts w:cs="Times New Roman"/>
          <w:szCs w:val="28"/>
          <w:lang w:val="en-US"/>
        </w:rPr>
      </w:pPr>
    </w:p>
    <w:p w:rsidR="007261CE" w:rsidRDefault="00BA3E38" w:rsidP="007261CE">
      <w:pPr>
        <w:spacing w:after="0"/>
        <w:jc w:val="both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uk-UA"/>
        </w:rPr>
        <w:t>1</w:t>
      </w:r>
      <w:r w:rsidR="007261CE" w:rsidRPr="00ED2A9C">
        <w:rPr>
          <w:rFonts w:cs="Times New Roman"/>
          <w:szCs w:val="28"/>
          <w:lang w:val="en-US"/>
        </w:rPr>
        <w:t xml:space="preserve">. </w:t>
      </w:r>
      <w:proofErr w:type="spellStart"/>
      <w:r w:rsidR="007261CE" w:rsidRPr="00ED2A9C">
        <w:rPr>
          <w:rFonts w:cs="Times New Roman"/>
          <w:szCs w:val="28"/>
          <w:lang w:val="en-US"/>
        </w:rPr>
        <w:t>Popelyansky</w:t>
      </w:r>
      <w:proofErr w:type="spellEnd"/>
      <w:r w:rsidR="007261CE" w:rsidRPr="00ED2A9C">
        <w:rPr>
          <w:rFonts w:cs="Times New Roman"/>
          <w:szCs w:val="28"/>
          <w:lang w:val="en-US"/>
        </w:rPr>
        <w:t xml:space="preserve"> Y.Y. Orthopedic Neurology (</w:t>
      </w:r>
      <w:proofErr w:type="spellStart"/>
      <w:r w:rsidR="007261CE" w:rsidRPr="00ED2A9C">
        <w:rPr>
          <w:rFonts w:cs="Times New Roman"/>
          <w:szCs w:val="28"/>
          <w:lang w:val="en-US"/>
        </w:rPr>
        <w:t>vertebroneurology</w:t>
      </w:r>
      <w:proofErr w:type="spellEnd"/>
      <w:r w:rsidR="007261CE" w:rsidRPr="00ED2A9C">
        <w:rPr>
          <w:rFonts w:cs="Times New Roman"/>
          <w:szCs w:val="28"/>
          <w:lang w:val="en-US"/>
        </w:rPr>
        <w:t xml:space="preserve">): A Guide for Physicians. - </w:t>
      </w:r>
      <w:proofErr w:type="gramStart"/>
      <w:r w:rsidR="007261CE" w:rsidRPr="00ED2A9C">
        <w:rPr>
          <w:rFonts w:cs="Times New Roman"/>
          <w:szCs w:val="28"/>
          <w:lang w:val="en-US"/>
        </w:rPr>
        <w:t>M .</w:t>
      </w:r>
      <w:proofErr w:type="gramEnd"/>
      <w:r w:rsidR="007261CE" w:rsidRPr="00ED2A9C">
        <w:rPr>
          <w:rFonts w:cs="Times New Roman"/>
          <w:szCs w:val="28"/>
          <w:lang w:val="en-US"/>
        </w:rPr>
        <w:t xml:space="preserve">: </w:t>
      </w:r>
      <w:proofErr w:type="spellStart"/>
      <w:r w:rsidR="007261CE" w:rsidRPr="00ED2A9C">
        <w:rPr>
          <w:rFonts w:cs="Times New Roman"/>
          <w:szCs w:val="28"/>
          <w:lang w:val="en-US"/>
        </w:rPr>
        <w:t>MEDpress</w:t>
      </w:r>
      <w:proofErr w:type="spellEnd"/>
      <w:r w:rsidR="007261CE" w:rsidRPr="00ED2A9C">
        <w:rPr>
          <w:rFonts w:cs="Times New Roman"/>
          <w:szCs w:val="28"/>
          <w:lang w:val="en-US"/>
        </w:rPr>
        <w:t>-Inform, 2003. - 670 p.</w:t>
      </w:r>
    </w:p>
    <w:p w:rsidR="007261CE" w:rsidRDefault="007261CE" w:rsidP="007261CE">
      <w:pPr>
        <w:spacing w:after="0"/>
        <w:jc w:val="both"/>
        <w:rPr>
          <w:rFonts w:cs="Times New Roman"/>
          <w:szCs w:val="28"/>
          <w:lang w:val="en-US"/>
        </w:rPr>
      </w:pPr>
    </w:p>
    <w:p w:rsidR="007261CE" w:rsidRPr="00ED2A9C" w:rsidRDefault="00BA3E38" w:rsidP="007261CE">
      <w:pPr>
        <w:spacing w:after="0"/>
        <w:jc w:val="both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>2</w:t>
      </w:r>
      <w:r w:rsidR="007261CE" w:rsidRPr="00ED2A9C">
        <w:rPr>
          <w:rFonts w:cs="Times New Roman"/>
          <w:szCs w:val="28"/>
          <w:lang w:val="en-US"/>
        </w:rPr>
        <w:t xml:space="preserve">. </w:t>
      </w:r>
      <w:proofErr w:type="spellStart"/>
      <w:r w:rsidR="007261CE" w:rsidRPr="00ED2A9C">
        <w:rPr>
          <w:rFonts w:cs="Times New Roman"/>
          <w:szCs w:val="28"/>
          <w:lang w:val="en-US"/>
        </w:rPr>
        <w:t>Popelyansky</w:t>
      </w:r>
      <w:proofErr w:type="spellEnd"/>
      <w:r w:rsidR="007261CE" w:rsidRPr="00ED2A9C">
        <w:rPr>
          <w:rFonts w:cs="Times New Roman"/>
          <w:szCs w:val="28"/>
          <w:lang w:val="en-US"/>
        </w:rPr>
        <w:t xml:space="preserve"> Y.Y. Diseases of the peripheral nervous system: a guide for physicians. - </w:t>
      </w:r>
      <w:proofErr w:type="gramStart"/>
      <w:r w:rsidR="007261CE" w:rsidRPr="00ED2A9C">
        <w:rPr>
          <w:rFonts w:cs="Times New Roman"/>
          <w:szCs w:val="28"/>
          <w:lang w:val="en-US"/>
        </w:rPr>
        <w:t>M .</w:t>
      </w:r>
      <w:proofErr w:type="gramEnd"/>
      <w:r w:rsidR="007261CE" w:rsidRPr="00ED2A9C">
        <w:rPr>
          <w:rFonts w:cs="Times New Roman"/>
          <w:szCs w:val="28"/>
          <w:lang w:val="en-US"/>
        </w:rPr>
        <w:t xml:space="preserve">: </w:t>
      </w:r>
      <w:proofErr w:type="spellStart"/>
      <w:r w:rsidR="007261CE" w:rsidRPr="00ED2A9C">
        <w:rPr>
          <w:rFonts w:cs="Times New Roman"/>
          <w:szCs w:val="28"/>
          <w:lang w:val="en-US"/>
        </w:rPr>
        <w:t>MEDpress</w:t>
      </w:r>
      <w:proofErr w:type="spellEnd"/>
      <w:r w:rsidR="007261CE" w:rsidRPr="00ED2A9C">
        <w:rPr>
          <w:rFonts w:cs="Times New Roman"/>
          <w:szCs w:val="28"/>
          <w:lang w:val="en-US"/>
        </w:rPr>
        <w:t>-Inform, 2005. - 368 p.</w:t>
      </w:r>
    </w:p>
    <w:p w:rsidR="007261CE" w:rsidRPr="00ED2A9C" w:rsidRDefault="007261CE" w:rsidP="007261CE">
      <w:pPr>
        <w:spacing w:after="0"/>
        <w:jc w:val="both"/>
        <w:rPr>
          <w:rFonts w:cs="Times New Roman"/>
          <w:color w:val="000000"/>
          <w:szCs w:val="28"/>
          <w:lang w:val="en-US"/>
        </w:rPr>
      </w:pPr>
    </w:p>
    <w:p w:rsidR="007261CE" w:rsidRPr="00167FC4" w:rsidRDefault="00BA3E38" w:rsidP="007261CE">
      <w:pPr>
        <w:spacing w:after="0"/>
        <w:jc w:val="both"/>
        <w:rPr>
          <w:rFonts w:cs="Times New Roman"/>
          <w:color w:val="000000"/>
          <w:szCs w:val="28"/>
          <w:lang w:val="en-US"/>
        </w:rPr>
      </w:pPr>
      <w:r>
        <w:rPr>
          <w:rFonts w:cs="Times New Roman"/>
          <w:color w:val="000000"/>
          <w:szCs w:val="28"/>
          <w:lang w:val="uk-UA"/>
        </w:rPr>
        <w:t>3</w:t>
      </w:r>
      <w:r w:rsidR="007261CE" w:rsidRPr="00167FC4">
        <w:rPr>
          <w:rFonts w:cs="Times New Roman"/>
          <w:color w:val="000000"/>
          <w:szCs w:val="28"/>
          <w:lang w:val="en-US"/>
        </w:rPr>
        <w:t xml:space="preserve">. </w:t>
      </w:r>
      <w:proofErr w:type="spellStart"/>
      <w:r w:rsidR="007261CE">
        <w:rPr>
          <w:rFonts w:cs="Times New Roman"/>
          <w:color w:val="000000"/>
          <w:szCs w:val="28"/>
          <w:lang w:val="en-US"/>
        </w:rPr>
        <w:t>Rolik</w:t>
      </w:r>
      <w:proofErr w:type="spellEnd"/>
      <w:r w:rsidR="007261CE" w:rsidRPr="00167FC4">
        <w:rPr>
          <w:rFonts w:cs="Times New Roman"/>
          <w:color w:val="000000"/>
          <w:szCs w:val="28"/>
          <w:lang w:val="en-US"/>
        </w:rPr>
        <w:t xml:space="preserve"> I</w:t>
      </w:r>
      <w:r w:rsidR="007261CE">
        <w:rPr>
          <w:rFonts w:cs="Times New Roman"/>
          <w:color w:val="000000"/>
          <w:szCs w:val="28"/>
          <w:lang w:val="en-US"/>
        </w:rPr>
        <w:t>.</w:t>
      </w:r>
      <w:r w:rsidR="007261CE" w:rsidRPr="00167FC4">
        <w:rPr>
          <w:rFonts w:cs="Times New Roman"/>
          <w:color w:val="000000"/>
          <w:szCs w:val="28"/>
          <w:lang w:val="en-US"/>
        </w:rPr>
        <w:t>S</w:t>
      </w:r>
      <w:r w:rsidR="007261CE">
        <w:rPr>
          <w:rFonts w:cs="Times New Roman"/>
          <w:color w:val="000000"/>
          <w:szCs w:val="28"/>
          <w:lang w:val="en-US"/>
        </w:rPr>
        <w:t>.</w:t>
      </w:r>
      <w:r w:rsidR="007261CE" w:rsidRPr="00167FC4">
        <w:rPr>
          <w:rFonts w:cs="Times New Roman"/>
          <w:color w:val="000000"/>
          <w:szCs w:val="28"/>
          <w:lang w:val="en-US"/>
        </w:rPr>
        <w:t xml:space="preserve">, </w:t>
      </w:r>
      <w:proofErr w:type="spellStart"/>
      <w:r w:rsidR="007261CE" w:rsidRPr="00167FC4">
        <w:rPr>
          <w:rFonts w:cs="Times New Roman"/>
          <w:color w:val="000000"/>
          <w:szCs w:val="28"/>
          <w:lang w:val="en-US"/>
        </w:rPr>
        <w:t>Galanov</w:t>
      </w:r>
      <w:proofErr w:type="spellEnd"/>
      <w:r w:rsidR="007261CE" w:rsidRPr="00167FC4">
        <w:rPr>
          <w:rFonts w:cs="Times New Roman"/>
          <w:color w:val="000000"/>
          <w:szCs w:val="28"/>
          <w:lang w:val="en-US"/>
        </w:rPr>
        <w:t xml:space="preserve"> V</w:t>
      </w:r>
      <w:r w:rsidR="007261CE">
        <w:rPr>
          <w:rFonts w:cs="Times New Roman"/>
          <w:color w:val="000000"/>
          <w:szCs w:val="28"/>
          <w:lang w:val="en-US"/>
        </w:rPr>
        <w:t>.</w:t>
      </w:r>
      <w:r w:rsidR="007261CE" w:rsidRPr="00167FC4">
        <w:rPr>
          <w:rFonts w:cs="Times New Roman"/>
          <w:color w:val="000000"/>
          <w:szCs w:val="28"/>
          <w:lang w:val="en-US"/>
        </w:rPr>
        <w:t>P</w:t>
      </w:r>
      <w:r w:rsidR="007261CE">
        <w:rPr>
          <w:rFonts w:cs="Times New Roman"/>
          <w:color w:val="000000"/>
          <w:szCs w:val="28"/>
          <w:lang w:val="en-US"/>
        </w:rPr>
        <w:t>.</w:t>
      </w:r>
      <w:r w:rsidR="007261CE" w:rsidRPr="00167FC4">
        <w:rPr>
          <w:rFonts w:cs="Times New Roman"/>
          <w:color w:val="000000"/>
          <w:szCs w:val="28"/>
          <w:lang w:val="en-US"/>
        </w:rPr>
        <w:t xml:space="preserve"> Herniated disc of the lumbar and biological therapy // </w:t>
      </w:r>
      <w:r w:rsidR="007261CE">
        <w:rPr>
          <w:rFonts w:cs="Times New Roman"/>
          <w:color w:val="000000"/>
          <w:szCs w:val="28"/>
          <w:lang w:val="en-US"/>
        </w:rPr>
        <w:t>Biological medicine. — 1999. — №</w:t>
      </w:r>
      <w:r w:rsidR="007261CE" w:rsidRPr="00167FC4">
        <w:rPr>
          <w:rFonts w:cs="Times New Roman"/>
          <w:color w:val="000000"/>
          <w:szCs w:val="28"/>
          <w:lang w:val="en-US"/>
        </w:rPr>
        <w:t xml:space="preserve">1. — </w:t>
      </w:r>
      <w:r w:rsidR="007261CE">
        <w:rPr>
          <w:rFonts w:cs="Times New Roman"/>
          <w:color w:val="000000"/>
          <w:szCs w:val="28"/>
          <w:lang w:val="en-US"/>
        </w:rPr>
        <w:t>P</w:t>
      </w:r>
      <w:r w:rsidR="007261CE" w:rsidRPr="00167FC4">
        <w:rPr>
          <w:rFonts w:cs="Times New Roman"/>
          <w:color w:val="000000"/>
          <w:szCs w:val="28"/>
          <w:lang w:val="en-US"/>
        </w:rPr>
        <w:t>. 22-31.</w:t>
      </w:r>
    </w:p>
    <w:p w:rsidR="007261CE" w:rsidRPr="00167FC4" w:rsidRDefault="007261CE" w:rsidP="007261CE">
      <w:pPr>
        <w:spacing w:after="0"/>
        <w:jc w:val="both"/>
        <w:rPr>
          <w:rFonts w:cs="Times New Roman"/>
          <w:color w:val="000000"/>
          <w:szCs w:val="28"/>
          <w:lang w:val="en-US"/>
        </w:rPr>
      </w:pPr>
    </w:p>
    <w:p w:rsidR="007261CE" w:rsidRPr="002912D9" w:rsidRDefault="00BA3E38" w:rsidP="007261C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>4</w:t>
      </w:r>
      <w:r w:rsidR="007261CE" w:rsidRPr="002912D9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="007261CE" w:rsidRPr="0098587C">
        <w:rPr>
          <w:color w:val="000000"/>
          <w:sz w:val="28"/>
          <w:szCs w:val="28"/>
          <w:lang w:val="en-US"/>
        </w:rPr>
        <w:t>Yatskevich</w:t>
      </w:r>
      <w:proofErr w:type="spellEnd"/>
      <w:r w:rsidR="007261CE" w:rsidRPr="002912D9">
        <w:rPr>
          <w:color w:val="000000"/>
          <w:sz w:val="28"/>
          <w:szCs w:val="28"/>
          <w:lang w:val="en-US"/>
        </w:rPr>
        <w:t xml:space="preserve"> </w:t>
      </w:r>
      <w:r w:rsidR="007261CE">
        <w:rPr>
          <w:color w:val="000000"/>
          <w:sz w:val="28"/>
          <w:szCs w:val="28"/>
          <w:lang w:val="en-US"/>
        </w:rPr>
        <w:t>Y</w:t>
      </w:r>
      <w:r w:rsidR="007261CE" w:rsidRPr="002912D9">
        <w:rPr>
          <w:color w:val="000000"/>
          <w:sz w:val="28"/>
          <w:szCs w:val="28"/>
          <w:lang w:val="en-US"/>
        </w:rPr>
        <w:t>.</w:t>
      </w:r>
      <w:r w:rsidR="007261CE">
        <w:rPr>
          <w:color w:val="000000"/>
          <w:sz w:val="28"/>
          <w:szCs w:val="28"/>
          <w:lang w:val="en-US"/>
        </w:rPr>
        <w:t>E</w:t>
      </w:r>
      <w:r w:rsidR="007261CE" w:rsidRPr="002912D9">
        <w:rPr>
          <w:color w:val="000000"/>
          <w:sz w:val="28"/>
          <w:szCs w:val="28"/>
          <w:lang w:val="en-US"/>
        </w:rPr>
        <w:t xml:space="preserve">., </w:t>
      </w:r>
      <w:proofErr w:type="spellStart"/>
      <w:r w:rsidR="007261CE" w:rsidRPr="0098587C">
        <w:rPr>
          <w:color w:val="000000"/>
          <w:sz w:val="28"/>
          <w:szCs w:val="28"/>
          <w:lang w:val="en-US"/>
        </w:rPr>
        <w:t>Yatskevich</w:t>
      </w:r>
      <w:proofErr w:type="spellEnd"/>
      <w:r w:rsidR="007261CE" w:rsidRPr="002912D9">
        <w:rPr>
          <w:color w:val="000000"/>
          <w:sz w:val="28"/>
          <w:szCs w:val="28"/>
          <w:lang w:val="en-US"/>
        </w:rPr>
        <w:t xml:space="preserve"> </w:t>
      </w:r>
      <w:r w:rsidR="007261CE">
        <w:rPr>
          <w:color w:val="000000"/>
          <w:sz w:val="28"/>
          <w:szCs w:val="28"/>
          <w:lang w:val="en-US"/>
        </w:rPr>
        <w:t>A</w:t>
      </w:r>
      <w:r w:rsidR="007261CE" w:rsidRPr="002912D9">
        <w:rPr>
          <w:color w:val="000000"/>
          <w:sz w:val="28"/>
          <w:szCs w:val="28"/>
          <w:lang w:val="en-US"/>
        </w:rPr>
        <w:t>.</w:t>
      </w:r>
      <w:r w:rsidR="007261CE">
        <w:rPr>
          <w:color w:val="000000"/>
          <w:sz w:val="28"/>
          <w:szCs w:val="28"/>
          <w:lang w:val="en-US"/>
        </w:rPr>
        <w:t>Y</w:t>
      </w:r>
      <w:r w:rsidR="007261CE" w:rsidRPr="002912D9">
        <w:rPr>
          <w:color w:val="000000"/>
          <w:sz w:val="28"/>
          <w:szCs w:val="28"/>
          <w:lang w:val="en-US"/>
        </w:rPr>
        <w:t xml:space="preserve">., </w:t>
      </w:r>
      <w:proofErr w:type="spellStart"/>
      <w:r w:rsidR="007261CE" w:rsidRPr="002912D9">
        <w:rPr>
          <w:color w:val="000000"/>
          <w:sz w:val="28"/>
          <w:szCs w:val="28"/>
          <w:lang w:val="en-US"/>
        </w:rPr>
        <w:t>Danylevskyy</w:t>
      </w:r>
      <w:proofErr w:type="spellEnd"/>
      <w:r w:rsidR="007261CE" w:rsidRPr="002912D9">
        <w:rPr>
          <w:color w:val="000000"/>
          <w:sz w:val="28"/>
          <w:szCs w:val="28"/>
          <w:lang w:val="en-US"/>
        </w:rPr>
        <w:t xml:space="preserve"> Y.G, </w:t>
      </w:r>
      <w:proofErr w:type="spellStart"/>
      <w:r w:rsidR="007261CE" w:rsidRPr="002912D9">
        <w:rPr>
          <w:color w:val="000000"/>
          <w:sz w:val="28"/>
          <w:szCs w:val="28"/>
          <w:lang w:val="en-US"/>
        </w:rPr>
        <w:t>Stasiuk</w:t>
      </w:r>
      <w:proofErr w:type="spellEnd"/>
      <w:r w:rsidR="007261CE" w:rsidRPr="002912D9">
        <w:rPr>
          <w:color w:val="000000"/>
          <w:sz w:val="28"/>
          <w:szCs w:val="28"/>
          <w:lang w:val="en-US"/>
        </w:rPr>
        <w:t xml:space="preserve"> M.Y </w:t>
      </w:r>
      <w:proofErr w:type="spellStart"/>
      <w:r w:rsidR="007261CE">
        <w:rPr>
          <w:color w:val="000000"/>
          <w:sz w:val="28"/>
          <w:szCs w:val="28"/>
          <w:lang w:val="en-US"/>
        </w:rPr>
        <w:t>P</w:t>
      </w:r>
      <w:r w:rsidR="007261CE" w:rsidRPr="002912D9">
        <w:rPr>
          <w:color w:val="000000"/>
          <w:sz w:val="28"/>
          <w:szCs w:val="28"/>
          <w:lang w:val="en-US"/>
        </w:rPr>
        <w:t>athogenetic</w:t>
      </w:r>
      <w:proofErr w:type="spellEnd"/>
      <w:r w:rsidR="007261CE" w:rsidRPr="002912D9">
        <w:rPr>
          <w:color w:val="000000"/>
          <w:sz w:val="28"/>
          <w:szCs w:val="28"/>
          <w:lang w:val="en-US"/>
        </w:rPr>
        <w:t xml:space="preserve"> </w:t>
      </w:r>
      <w:r w:rsidR="007261CE">
        <w:rPr>
          <w:color w:val="000000"/>
          <w:sz w:val="28"/>
          <w:szCs w:val="28"/>
          <w:lang w:val="en-US"/>
        </w:rPr>
        <w:t>and</w:t>
      </w:r>
      <w:r w:rsidR="007261CE" w:rsidRPr="002912D9">
        <w:rPr>
          <w:color w:val="000000"/>
          <w:sz w:val="28"/>
          <w:szCs w:val="28"/>
          <w:lang w:val="en-US"/>
        </w:rPr>
        <w:t xml:space="preserve"> </w:t>
      </w:r>
      <w:r w:rsidR="007261CE">
        <w:rPr>
          <w:color w:val="000000"/>
          <w:sz w:val="28"/>
          <w:szCs w:val="28"/>
          <w:lang w:val="en-US"/>
        </w:rPr>
        <w:t>drug</w:t>
      </w:r>
      <w:r w:rsidR="007261CE" w:rsidRPr="002912D9">
        <w:rPr>
          <w:color w:val="000000"/>
          <w:sz w:val="28"/>
          <w:szCs w:val="28"/>
          <w:lang w:val="en-US"/>
        </w:rPr>
        <w:t xml:space="preserve"> therapy destructive diseases of joints and spine // Guidelines of the Ministry of Health of Ukraine. — 2005. — 25</w:t>
      </w:r>
      <w:r w:rsidR="007261CE">
        <w:rPr>
          <w:color w:val="000000"/>
          <w:sz w:val="28"/>
          <w:szCs w:val="28"/>
          <w:lang w:val="en-US"/>
        </w:rPr>
        <w:t>p</w:t>
      </w:r>
      <w:r w:rsidR="007261CE" w:rsidRPr="002912D9">
        <w:rPr>
          <w:color w:val="000000"/>
          <w:sz w:val="28"/>
          <w:szCs w:val="28"/>
          <w:lang w:val="en-US"/>
        </w:rPr>
        <w:t>.</w:t>
      </w:r>
    </w:p>
    <w:p w:rsidR="007261CE" w:rsidRPr="002912D9" w:rsidRDefault="007261CE" w:rsidP="007261CE">
      <w:pPr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Cs w:val="28"/>
          <w:lang w:val="en-US" w:eastAsia="ru-RU"/>
        </w:rPr>
      </w:pPr>
    </w:p>
    <w:p w:rsidR="007261CE" w:rsidRPr="009D656D" w:rsidRDefault="00BA3E38" w:rsidP="007261CE">
      <w:pPr>
        <w:spacing w:after="0"/>
        <w:jc w:val="both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>5</w:t>
      </w:r>
      <w:r w:rsidR="007261CE" w:rsidRPr="009A5DB3">
        <w:rPr>
          <w:rFonts w:cs="Times New Roman"/>
          <w:szCs w:val="28"/>
          <w:lang w:val="en-US"/>
        </w:rPr>
        <w:t xml:space="preserve">. </w:t>
      </w:r>
      <w:proofErr w:type="spellStart"/>
      <w:r w:rsidR="007261CE">
        <w:rPr>
          <w:rFonts w:cs="Times New Roman"/>
          <w:szCs w:val="28"/>
          <w:lang w:val="en-US"/>
        </w:rPr>
        <w:t>Breivik</w:t>
      </w:r>
      <w:proofErr w:type="spellEnd"/>
      <w:r w:rsidR="007261CE">
        <w:rPr>
          <w:rFonts w:cs="Times New Roman"/>
          <w:szCs w:val="28"/>
          <w:lang w:val="en-US"/>
        </w:rPr>
        <w:t xml:space="preserve"> H., </w:t>
      </w:r>
      <w:proofErr w:type="spellStart"/>
      <w:r w:rsidR="007261CE">
        <w:rPr>
          <w:rFonts w:cs="Times New Roman"/>
          <w:szCs w:val="28"/>
          <w:lang w:val="en-US"/>
        </w:rPr>
        <w:t>Borehgrevink</w:t>
      </w:r>
      <w:proofErr w:type="spellEnd"/>
      <w:r w:rsidR="007261CE">
        <w:rPr>
          <w:rFonts w:cs="Times New Roman"/>
          <w:szCs w:val="28"/>
          <w:lang w:val="en-US"/>
        </w:rPr>
        <w:t xml:space="preserve"> P.C., Allen S.M. et al. Assessment of pain </w:t>
      </w:r>
      <w:r w:rsidR="007261CE" w:rsidRPr="009D656D">
        <w:rPr>
          <w:rFonts w:cs="Times New Roman"/>
          <w:szCs w:val="28"/>
          <w:lang w:val="en-US"/>
        </w:rPr>
        <w:t>//</w:t>
      </w:r>
      <w:r w:rsidR="007261CE">
        <w:rPr>
          <w:rFonts w:cs="Times New Roman"/>
          <w:szCs w:val="28"/>
          <w:lang w:val="en-US"/>
        </w:rPr>
        <w:t xml:space="preserve"> British Journal of Anesthesia. – 2008. – 101 (1). – P. 17-24. </w:t>
      </w:r>
    </w:p>
    <w:p w:rsidR="007261CE" w:rsidRDefault="007261CE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en-US" w:eastAsia="ru-RU"/>
        </w:rPr>
      </w:pPr>
    </w:p>
    <w:p w:rsidR="007261CE" w:rsidRDefault="00BA3E38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en-US"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6</w:t>
      </w:r>
      <w:r w:rsidR="007261CE" w:rsidRPr="009A5DB3">
        <w:rPr>
          <w:rFonts w:eastAsia="Times New Roman" w:cs="Times New Roman"/>
          <w:color w:val="000000"/>
          <w:szCs w:val="28"/>
          <w:lang w:val="en-US" w:eastAsia="ru-RU"/>
        </w:rPr>
        <w:t xml:space="preserve">. </w:t>
      </w:r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Wassermann E.M. Therapeutic application of repetitive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transcranial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 magnetic stimulation: a review / Wassermann E.M.,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Lisanby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 S.H. //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Clin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 xml:space="preserve">. </w:t>
      </w:r>
      <w:proofErr w:type="spellStart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Neurophysiol</w:t>
      </w:r>
      <w:proofErr w:type="spellEnd"/>
      <w:r w:rsidR="007261CE" w:rsidRPr="009D656D">
        <w:rPr>
          <w:rFonts w:eastAsia="Times New Roman" w:cs="Times New Roman"/>
          <w:color w:val="000000"/>
          <w:szCs w:val="28"/>
          <w:lang w:val="en-US" w:eastAsia="ru-RU"/>
        </w:rPr>
        <w:t>. — 2011. — № 112. — 1367-1377.</w:t>
      </w:r>
    </w:p>
    <w:p w:rsidR="007261CE" w:rsidRDefault="007261CE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en-US" w:eastAsia="ru-RU"/>
        </w:rPr>
      </w:pPr>
    </w:p>
    <w:p w:rsidR="007261CE" w:rsidRDefault="007261CE" w:rsidP="007261CE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val="en-US" w:eastAsia="ru-RU"/>
        </w:rPr>
      </w:pPr>
    </w:p>
    <w:p w:rsidR="007261CE" w:rsidRPr="007B73F3" w:rsidRDefault="007261CE" w:rsidP="007261CE">
      <w:pPr>
        <w:spacing w:after="0" w:line="360" w:lineRule="auto"/>
        <w:ind w:firstLine="708"/>
        <w:jc w:val="both"/>
        <w:rPr>
          <w:lang w:val="uk-UA"/>
        </w:rPr>
      </w:pPr>
    </w:p>
    <w:sectPr w:rsidR="007261CE" w:rsidRPr="007B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79"/>
    <w:rsid w:val="00061C8D"/>
    <w:rsid w:val="002569C8"/>
    <w:rsid w:val="00323AF4"/>
    <w:rsid w:val="00556E43"/>
    <w:rsid w:val="005A6A76"/>
    <w:rsid w:val="007261CE"/>
    <w:rsid w:val="007B73F3"/>
    <w:rsid w:val="00846EBD"/>
    <w:rsid w:val="00A16481"/>
    <w:rsid w:val="00BA3E38"/>
    <w:rsid w:val="00BF5F79"/>
    <w:rsid w:val="00D8426F"/>
    <w:rsid w:val="00E90476"/>
    <w:rsid w:val="00E933E5"/>
    <w:rsid w:val="00EA4619"/>
    <w:rsid w:val="00F31B3A"/>
    <w:rsid w:val="00FC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91EE8-965B-43E7-9557-A6748CC3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1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Регистратор</cp:lastModifiedBy>
  <cp:revision>2</cp:revision>
  <dcterms:created xsi:type="dcterms:W3CDTF">2017-04-28T09:13:00Z</dcterms:created>
  <dcterms:modified xsi:type="dcterms:W3CDTF">2017-04-28T09:13:00Z</dcterms:modified>
</cp:coreProperties>
</file>