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991" w:rsidRPr="00E02991" w:rsidRDefault="00E02991" w:rsidP="00E02991">
      <w:pPr>
        <w:pStyle w:val="text"/>
        <w:ind w:firstLine="170"/>
        <w:jc w:val="left"/>
        <w:rPr>
          <w:rFonts w:ascii="Times New Roman Cyr" w:hAnsi="Times New Roman Cyr"/>
          <w:caps/>
          <w:sz w:val="24"/>
          <w:szCs w:val="24"/>
        </w:rPr>
      </w:pPr>
      <w:r w:rsidRPr="00E02991">
        <w:rPr>
          <w:rFonts w:ascii="Times New Roman Cyr" w:hAnsi="Times New Roman Cyr"/>
          <w:sz w:val="24"/>
          <w:szCs w:val="24"/>
        </w:rPr>
        <w:t xml:space="preserve">Українська, </w:t>
      </w:r>
      <w:r w:rsidRPr="00E02991">
        <w:rPr>
          <w:rFonts w:ascii="Times New Roman Cyr" w:hAnsi="Times New Roman Cyr"/>
          <w:caps/>
          <w:sz w:val="24"/>
          <w:szCs w:val="24"/>
        </w:rPr>
        <w:t>акушерство та гінекологія</w:t>
      </w:r>
    </w:p>
    <w:p w:rsidR="00E02991" w:rsidRPr="00E02991" w:rsidRDefault="00E02991" w:rsidP="00E02991">
      <w:pPr>
        <w:pStyle w:val="text"/>
        <w:ind w:firstLine="170"/>
        <w:rPr>
          <w:rFonts w:ascii="Times New Roman Cyr" w:hAnsi="Times New Roman Cyr"/>
          <w:caps/>
          <w:sz w:val="24"/>
          <w:szCs w:val="24"/>
        </w:rPr>
      </w:pPr>
    </w:p>
    <w:p w:rsidR="00E02991" w:rsidRPr="00E02991" w:rsidRDefault="00E02991" w:rsidP="00E02991">
      <w:pPr>
        <w:suppressAutoHyphens/>
        <w:autoSpaceDE w:val="0"/>
        <w:autoSpaceDN w:val="0"/>
        <w:adjustRightInd w:val="0"/>
        <w:spacing w:after="0" w:line="212" w:lineRule="atLeast"/>
        <w:ind w:firstLine="283"/>
        <w:jc w:val="right"/>
        <w:textAlignment w:val="center"/>
        <w:rPr>
          <w:rFonts w:ascii="Times New Roman Cyr" w:hAnsi="Times New Roman Cyr" w:cs="Arimo"/>
          <w:b/>
          <w:bCs/>
          <w:color w:val="000000"/>
          <w:sz w:val="24"/>
          <w:szCs w:val="24"/>
        </w:rPr>
      </w:pPr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</w:rPr>
        <w:t xml:space="preserve">©О. М. </w:t>
      </w:r>
      <w:proofErr w:type="spellStart"/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</w:rPr>
        <w:t>Іщак</w:t>
      </w:r>
      <w:proofErr w:type="spellEnd"/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</w:rPr>
        <w:t xml:space="preserve">, М. Р. </w:t>
      </w:r>
      <w:proofErr w:type="spellStart"/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</w:rPr>
        <w:t>Семків</w:t>
      </w:r>
      <w:proofErr w:type="spellEnd"/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</w:rPr>
        <w:t>, М. С. Хміль</w:t>
      </w:r>
    </w:p>
    <w:p w:rsidR="00E02991" w:rsidRPr="00E02991" w:rsidRDefault="00E02991" w:rsidP="00E02991">
      <w:pPr>
        <w:suppressAutoHyphens/>
        <w:autoSpaceDE w:val="0"/>
        <w:autoSpaceDN w:val="0"/>
        <w:adjustRightInd w:val="0"/>
        <w:spacing w:before="57" w:after="0" w:line="212" w:lineRule="atLeast"/>
        <w:jc w:val="right"/>
        <w:textAlignment w:val="center"/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</w:pPr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 xml:space="preserve">ДВНЗ “Тернопільський державний медичний університет імені І. Я. </w:t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Горбачевського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”</w:t>
      </w:r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br/>
        <w:t>Тернопільська міська комунальна клінічна лікарня № 2</w:t>
      </w:r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br/>
        <w:t xml:space="preserve">Медичний центр “Клініка професора Стефана </w:t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Хміля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”</w:t>
      </w:r>
    </w:p>
    <w:p w:rsidR="00E02991" w:rsidRPr="00E02991" w:rsidRDefault="00E02991" w:rsidP="00E02991">
      <w:pPr>
        <w:suppressAutoHyphens/>
        <w:autoSpaceDE w:val="0"/>
        <w:autoSpaceDN w:val="0"/>
        <w:adjustRightInd w:val="0"/>
        <w:spacing w:before="113" w:after="0" w:line="288" w:lineRule="auto"/>
        <w:jc w:val="center"/>
        <w:textAlignment w:val="center"/>
        <w:rPr>
          <w:rFonts w:ascii="Times New Roman Cyr" w:hAnsi="Times New Roman Cyr" w:cs="Arimo"/>
          <w:b/>
          <w:bCs/>
          <w:caps/>
          <w:color w:val="000000"/>
          <w:sz w:val="24"/>
          <w:szCs w:val="24"/>
        </w:rPr>
      </w:pPr>
      <w:r w:rsidRPr="00E02991">
        <w:rPr>
          <w:rFonts w:ascii="Times New Roman Cyr" w:hAnsi="Times New Roman Cyr" w:cs="Arimo"/>
          <w:b/>
          <w:bCs/>
          <w:caps/>
          <w:color w:val="000000"/>
          <w:sz w:val="24"/>
          <w:szCs w:val="24"/>
        </w:rPr>
        <w:t xml:space="preserve">ВПЛИВ ХІРУРГІЧНОГО ВТРУЧАННЯ НА ПАЦІЄНТОК З АПОПЛЕКСІЄЮ ЯЄЧНИКА В АСПЕКТІ ЗБЕРЕЖЕННЯ ОВАРІАЛЬНОГО РЕЗЕРВУ ТА ПОЛІПШЕННЯ ЕФЕКТИВНОСТІ ДОПОМІЖНИХ РЕПРОДУКТИВНИХ ТЕХНОЛОГІЙ </w:t>
      </w:r>
    </w:p>
    <w:p w:rsidR="00E02991" w:rsidRPr="00E02991" w:rsidRDefault="00E02991" w:rsidP="00E02991">
      <w:pPr>
        <w:autoSpaceDE w:val="0"/>
        <w:autoSpaceDN w:val="0"/>
        <w:adjustRightInd w:val="0"/>
        <w:spacing w:after="0" w:line="212" w:lineRule="atLeast"/>
        <w:ind w:firstLine="283"/>
        <w:jc w:val="both"/>
        <w:textAlignment w:val="center"/>
        <w:rPr>
          <w:rFonts w:ascii="Times New Roman Cyr" w:hAnsi="Times New Roman Cyr" w:cs="Arimo"/>
          <w:b/>
          <w:bCs/>
          <w:color w:val="000000"/>
          <w:sz w:val="24"/>
          <w:szCs w:val="24"/>
        </w:rPr>
      </w:pPr>
    </w:p>
    <w:p w:rsidR="00E02991" w:rsidRPr="00E02991" w:rsidRDefault="00E02991" w:rsidP="00E02991">
      <w:pPr>
        <w:autoSpaceDE w:val="0"/>
        <w:autoSpaceDN w:val="0"/>
        <w:adjustRightInd w:val="0"/>
        <w:spacing w:after="0" w:line="288" w:lineRule="auto"/>
        <w:ind w:left="397"/>
        <w:jc w:val="both"/>
        <w:textAlignment w:val="center"/>
        <w:rPr>
          <w:rFonts w:ascii="Times New Roman Cyr" w:hAnsi="Times New Roman Cyr" w:cs="Arimo"/>
          <w:color w:val="000000"/>
          <w:sz w:val="24"/>
          <w:szCs w:val="24"/>
          <w:lang w:val="ru-RU"/>
        </w:rPr>
      </w:pPr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</w:rPr>
        <w:t>Резюме.</w:t>
      </w:r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Серед причин, що можуть призвести до порушення репродуктивного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здоров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>’</w:t>
      </w:r>
      <w:r w:rsidRPr="00E02991">
        <w:rPr>
          <w:rFonts w:ascii="Times New Roman Cyr" w:hAnsi="Times New Roman Cyr" w:cs="Arimo"/>
          <w:color w:val="000000"/>
          <w:sz w:val="24"/>
          <w:szCs w:val="24"/>
        </w:rPr>
        <w:t>я жінок, особливу роль набувають гінекологічні захворювання, які вимагають хірургічного лікування.</w:t>
      </w:r>
    </w:p>
    <w:p w:rsidR="00E02991" w:rsidRPr="00E02991" w:rsidRDefault="00E02991" w:rsidP="00E02991">
      <w:pPr>
        <w:autoSpaceDE w:val="0"/>
        <w:autoSpaceDN w:val="0"/>
        <w:adjustRightInd w:val="0"/>
        <w:spacing w:after="0" w:line="288" w:lineRule="auto"/>
        <w:ind w:left="397"/>
        <w:jc w:val="both"/>
        <w:textAlignment w:val="center"/>
        <w:rPr>
          <w:rFonts w:ascii="Times New Roman Cyr" w:hAnsi="Times New Roman Cyr" w:cs="Arimo"/>
          <w:color w:val="000000"/>
          <w:sz w:val="24"/>
          <w:szCs w:val="24"/>
        </w:rPr>
      </w:pPr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</w:rPr>
        <w:t xml:space="preserve">Мета дослідження </w:t>
      </w:r>
      <w:r w:rsidRPr="00E02991">
        <w:rPr>
          <w:rFonts w:ascii="Times New Roman Cyr" w:hAnsi="Times New Roman Cyr" w:cs="Arimo"/>
          <w:color w:val="000000"/>
          <w:sz w:val="24"/>
          <w:szCs w:val="24"/>
        </w:rPr>
        <w:t>–</w:t>
      </w:r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</w:rPr>
        <w:t xml:space="preserve"> </w:t>
      </w:r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поліпшити хірургічне лікування хворих на апоплексію яєчників (АЯ) для максимального збереження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оваріального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резерву.</w:t>
      </w:r>
    </w:p>
    <w:p w:rsidR="00E02991" w:rsidRPr="00E02991" w:rsidRDefault="00E02991" w:rsidP="00E02991">
      <w:pPr>
        <w:autoSpaceDE w:val="0"/>
        <w:autoSpaceDN w:val="0"/>
        <w:adjustRightInd w:val="0"/>
        <w:spacing w:after="0" w:line="288" w:lineRule="auto"/>
        <w:ind w:left="397"/>
        <w:jc w:val="both"/>
        <w:textAlignment w:val="center"/>
        <w:rPr>
          <w:rFonts w:ascii="Times New Roman Cyr" w:hAnsi="Times New Roman Cyr" w:cs="Arimo"/>
          <w:color w:val="000000"/>
          <w:spacing w:val="2"/>
          <w:sz w:val="24"/>
          <w:szCs w:val="24"/>
        </w:rPr>
      </w:pPr>
      <w:r w:rsidRPr="00E02991">
        <w:rPr>
          <w:rFonts w:ascii="Times New Roman Cyr" w:hAnsi="Times New Roman Cyr" w:cs="Arimo"/>
          <w:b/>
          <w:bCs/>
          <w:color w:val="000000"/>
          <w:spacing w:val="2"/>
          <w:sz w:val="24"/>
          <w:szCs w:val="24"/>
        </w:rPr>
        <w:t>Матеріали і методи.</w:t>
      </w:r>
      <w:r w:rsidRPr="00E02991">
        <w:rPr>
          <w:rFonts w:ascii="Times New Roman Cyr" w:hAnsi="Times New Roman Cyr" w:cs="Arimo"/>
          <w:color w:val="000000"/>
          <w:spacing w:val="2"/>
          <w:sz w:val="24"/>
          <w:szCs w:val="24"/>
        </w:rPr>
        <w:t xml:space="preserve"> Ми провели ретроспективне вивчення результатів лікування 150 хворих на апоплексію яєчника за період з 2014 до 2017 р. у гінекологічному відділенні Тернопільської міської комунальної клінічної лікарні № 2. Питома вага оперативних </w:t>
      </w:r>
      <w:proofErr w:type="spellStart"/>
      <w:r w:rsidRPr="00E02991">
        <w:rPr>
          <w:rFonts w:ascii="Times New Roman Cyr" w:hAnsi="Times New Roman Cyr" w:cs="Arimo"/>
          <w:color w:val="000000"/>
          <w:spacing w:val="2"/>
          <w:sz w:val="24"/>
          <w:szCs w:val="24"/>
        </w:rPr>
        <w:t>втручань</w:t>
      </w:r>
      <w:proofErr w:type="spellEnd"/>
      <w:r w:rsidRPr="00E02991">
        <w:rPr>
          <w:rFonts w:ascii="Times New Roman Cyr" w:hAnsi="Times New Roman Cyr" w:cs="Arimo"/>
          <w:color w:val="000000"/>
          <w:spacing w:val="2"/>
          <w:sz w:val="24"/>
          <w:szCs w:val="24"/>
        </w:rPr>
        <w:t xml:space="preserve"> з приводу апоплексії яєчника за останні 3 роки склала (11,5±0,5) %. Усього в дослідження було включено 120 жінок, з них 60, хворих на АЯ, яким вперше проведено </w:t>
      </w:r>
      <w:proofErr w:type="spellStart"/>
      <w:r w:rsidRPr="00E02991">
        <w:rPr>
          <w:rFonts w:ascii="Times New Roman Cyr" w:hAnsi="Times New Roman Cyr" w:cs="Arimo"/>
          <w:color w:val="000000"/>
          <w:spacing w:val="2"/>
          <w:sz w:val="24"/>
          <w:szCs w:val="24"/>
        </w:rPr>
        <w:t>лапароскопічну</w:t>
      </w:r>
      <w:proofErr w:type="spellEnd"/>
      <w:r w:rsidRPr="00E02991">
        <w:rPr>
          <w:rFonts w:ascii="Times New Roman Cyr" w:hAnsi="Times New Roman Cyr" w:cs="Arimo"/>
          <w:color w:val="000000"/>
          <w:spacing w:val="2"/>
          <w:sz w:val="24"/>
          <w:szCs w:val="24"/>
        </w:rPr>
        <w:t xml:space="preserve"> операцію. Цих пацієнток включили в </w:t>
      </w:r>
      <w:proofErr w:type="spellStart"/>
      <w:r w:rsidRPr="00E02991">
        <w:rPr>
          <w:rFonts w:ascii="Times New Roman Cyr" w:hAnsi="Times New Roman Cyr" w:cs="Arimo"/>
          <w:color w:val="000000"/>
          <w:spacing w:val="2"/>
          <w:sz w:val="24"/>
          <w:szCs w:val="24"/>
        </w:rPr>
        <w:t>проспективне</w:t>
      </w:r>
      <w:proofErr w:type="spellEnd"/>
      <w:r w:rsidRPr="00E02991">
        <w:rPr>
          <w:rFonts w:ascii="Times New Roman Cyr" w:hAnsi="Times New Roman Cyr" w:cs="Arimo"/>
          <w:color w:val="000000"/>
          <w:spacing w:val="2"/>
          <w:sz w:val="24"/>
          <w:szCs w:val="24"/>
        </w:rPr>
        <w:t xml:space="preserve"> дослідження і поділили на 2 групи залежно від методу гемостазу, використаного під час операції. У першу групу увійшли 30 хворих, гемостаз яким здійснювали за допомогою біполярної коагуляції, в другу групу – 30 хворих, кровотечу з яєчника яким було </w:t>
      </w:r>
      <w:proofErr w:type="spellStart"/>
      <w:r w:rsidRPr="00E02991">
        <w:rPr>
          <w:rFonts w:ascii="Times New Roman Cyr" w:hAnsi="Times New Roman Cyr" w:cs="Arimo"/>
          <w:color w:val="000000"/>
          <w:spacing w:val="2"/>
          <w:sz w:val="24"/>
          <w:szCs w:val="24"/>
        </w:rPr>
        <w:t>зупинено</w:t>
      </w:r>
      <w:proofErr w:type="spellEnd"/>
      <w:r w:rsidRPr="00E02991">
        <w:rPr>
          <w:rFonts w:ascii="Times New Roman Cyr" w:hAnsi="Times New Roman Cyr" w:cs="Arimo"/>
          <w:color w:val="000000"/>
          <w:spacing w:val="2"/>
          <w:sz w:val="24"/>
          <w:szCs w:val="24"/>
        </w:rPr>
        <w:t xml:space="preserve"> за допомогою накладання швів. Групу порівняння склали 30 жінок із АЯ, які отримали консервативне лікування.</w:t>
      </w:r>
    </w:p>
    <w:p w:rsidR="00E02991" w:rsidRPr="00E02991" w:rsidRDefault="00E02991" w:rsidP="00E02991">
      <w:pPr>
        <w:autoSpaceDE w:val="0"/>
        <w:autoSpaceDN w:val="0"/>
        <w:adjustRightInd w:val="0"/>
        <w:spacing w:after="0" w:line="288" w:lineRule="auto"/>
        <w:ind w:left="397"/>
        <w:jc w:val="both"/>
        <w:textAlignment w:val="center"/>
        <w:rPr>
          <w:rFonts w:ascii="Times New Roman Cyr" w:hAnsi="Times New Roman Cyr" w:cs="Arimo"/>
          <w:color w:val="000000"/>
          <w:sz w:val="24"/>
          <w:szCs w:val="24"/>
        </w:rPr>
      </w:pPr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</w:rPr>
        <w:t>Результати досліджень та їх обговорення</w:t>
      </w:r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  <w:lang w:val="ru-RU"/>
        </w:rPr>
        <w:t xml:space="preserve">. </w:t>
      </w:r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Апоплексія яєчника у 40 % випадках вимагає екстреного оперативного втручання, яке призводить до втрати частини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органа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. У післяопераційному періоді спостерігається погіршення порушеного репродуктивного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здоров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>’</w:t>
      </w:r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я, гормонального гомеостазу, порушення кровообігу, що зумовлені не тільки травмою яєчника та зниженням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оваріального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резерву, а й виникненням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злукового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процесу в органах малого таза. Зупинку кровотечі у хворих на АЯ за допомогою біполярної електрохірургії здійснюють швидше, але це призводить до більш значного зниження ОР (АМГ – на 30 %, АФ – на 10 %), ніж застосування з цією метою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гемостатичних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швів (АМГ – на 22 %, АФ – на 8 %) (р&lt;0,05). З метою максимального збереження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оваріального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резерву при операціях у жінок із АЯ завжди краще здійснювати гемостаз шляхом вилущування капсули кісти в межах здорових тканин та накладання на рану яєчника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розсмоктувальних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синтетичних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ареактивних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швів із наступним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інтракорпоральним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зав’язуванням вузлів. Незалежно від використаного методу гемостазу під час хірургічного лікування АЯ у хворих 36 років і старших, спостерігається більше зниження ОР (АМГ – на 30 %, АФ – на 20 %), ніж у хворих, чий вік не перевищує 35 років (АМГ – на 20 %, АФ – на 12 %) (р&lt;0,05). У хворих із реалізованою дітородною функцією, незалежно від віку, та в усіх хворих у віці до 35 років, які піддаються операції з приводу АЯ вперше, для зупинки кровотечі допустимо використовувати біполярну коагуляцію. При здійсненні біполярного гемостазу в пацієнтів із АЯ необхідно </w:t>
      </w:r>
      <w:r w:rsidRPr="00E02991">
        <w:rPr>
          <w:rFonts w:ascii="Times New Roman Cyr" w:hAnsi="Times New Roman Cyr" w:cs="Arimo"/>
          <w:color w:val="000000"/>
          <w:sz w:val="24"/>
          <w:szCs w:val="24"/>
        </w:rPr>
        <w:lastRenderedPageBreak/>
        <w:t>проводити точкову коагуляцію судин, що кровоточать, уникаючи ушкодження навколишніх тканин.</w:t>
      </w:r>
    </w:p>
    <w:p w:rsidR="00E02991" w:rsidRPr="00E02991" w:rsidRDefault="00E02991" w:rsidP="00E02991">
      <w:pPr>
        <w:autoSpaceDE w:val="0"/>
        <w:autoSpaceDN w:val="0"/>
        <w:adjustRightInd w:val="0"/>
        <w:spacing w:after="0" w:line="288" w:lineRule="auto"/>
        <w:ind w:left="397"/>
        <w:jc w:val="both"/>
        <w:textAlignment w:val="center"/>
        <w:rPr>
          <w:rFonts w:ascii="Times New Roman Cyr" w:hAnsi="Times New Roman Cyr" w:cs="Arimo"/>
          <w:color w:val="000000"/>
          <w:sz w:val="24"/>
          <w:szCs w:val="24"/>
        </w:rPr>
      </w:pPr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</w:rPr>
        <w:t>Висновки.</w:t>
      </w:r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r w:rsidRPr="00E02991">
        <w:rPr>
          <w:rFonts w:ascii="Times New Roman Cyr" w:hAnsi="Times New Roman Cyr" w:cs="Arimo"/>
          <w:color w:val="000000"/>
          <w:sz w:val="24"/>
          <w:szCs w:val="24"/>
          <w:u w:color="000000"/>
        </w:rPr>
        <w:t>Виконання оперативного втручання у щадному обсязі з максимальним збереженням здорової тканини до­зволяє зберегти яєчниковий резерв і репродуктивне здоров’я жінки.</w:t>
      </w:r>
    </w:p>
    <w:p w:rsidR="00E02991" w:rsidRPr="00E02991" w:rsidRDefault="00E02991" w:rsidP="00E02991">
      <w:pPr>
        <w:autoSpaceDE w:val="0"/>
        <w:autoSpaceDN w:val="0"/>
        <w:adjustRightInd w:val="0"/>
        <w:spacing w:before="113" w:after="0" w:line="288" w:lineRule="auto"/>
        <w:ind w:left="397"/>
        <w:jc w:val="both"/>
        <w:textAlignment w:val="center"/>
        <w:rPr>
          <w:rFonts w:ascii="Times New Roman Cyr" w:hAnsi="Times New Roman Cyr" w:cs="Arimo"/>
          <w:color w:val="000000"/>
          <w:sz w:val="24"/>
          <w:szCs w:val="24"/>
        </w:rPr>
      </w:pPr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</w:rPr>
        <w:t xml:space="preserve">Ключові слова: </w:t>
      </w:r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апоплексія яєчника;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оваріальний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резерв;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антимюлеровий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гормон; хірургічні операції на придатках; допоміжні репродуктивні технології.</w:t>
      </w:r>
    </w:p>
    <w:p w:rsidR="005A2E96" w:rsidRPr="00E02991" w:rsidRDefault="005A2E96">
      <w:pPr>
        <w:rPr>
          <w:rFonts w:ascii="Times New Roman Cyr" w:hAnsi="Times New Roman Cyr"/>
          <w:sz w:val="24"/>
          <w:szCs w:val="24"/>
        </w:rPr>
      </w:pPr>
    </w:p>
    <w:p w:rsidR="00E02991" w:rsidRPr="00E02991" w:rsidRDefault="00E02991" w:rsidP="00E02991">
      <w:pPr>
        <w:suppressAutoHyphens/>
        <w:autoSpaceDE w:val="0"/>
        <w:autoSpaceDN w:val="0"/>
        <w:adjustRightInd w:val="0"/>
        <w:spacing w:after="0" w:line="212" w:lineRule="atLeast"/>
        <w:ind w:firstLine="283"/>
        <w:jc w:val="right"/>
        <w:textAlignment w:val="center"/>
        <w:rPr>
          <w:rFonts w:ascii="Times New Roman Cyr" w:hAnsi="Times New Roman Cyr" w:cs="Arimo"/>
          <w:b/>
          <w:bCs/>
          <w:color w:val="000000"/>
          <w:sz w:val="24"/>
          <w:szCs w:val="24"/>
        </w:rPr>
      </w:pPr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</w:rPr>
        <w:t xml:space="preserve">©O. M. </w:t>
      </w:r>
      <w:proofErr w:type="spellStart"/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</w:rPr>
        <w:t>Ishchak</w:t>
      </w:r>
      <w:proofErr w:type="spellEnd"/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</w:rPr>
        <w:t xml:space="preserve">, M. R. </w:t>
      </w:r>
      <w:proofErr w:type="spellStart"/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</w:rPr>
        <w:t>Semkiv</w:t>
      </w:r>
      <w:proofErr w:type="spellEnd"/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</w:rPr>
        <w:t xml:space="preserve">, M. S. </w:t>
      </w:r>
      <w:proofErr w:type="spellStart"/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</w:rPr>
        <w:t>Khmil</w:t>
      </w:r>
      <w:proofErr w:type="spellEnd"/>
    </w:p>
    <w:p w:rsidR="00E02991" w:rsidRPr="00E02991" w:rsidRDefault="00E02991" w:rsidP="00E02991">
      <w:pPr>
        <w:suppressAutoHyphens/>
        <w:autoSpaceDE w:val="0"/>
        <w:autoSpaceDN w:val="0"/>
        <w:adjustRightInd w:val="0"/>
        <w:spacing w:before="57" w:after="0" w:line="212" w:lineRule="atLeast"/>
        <w:jc w:val="right"/>
        <w:textAlignment w:val="center"/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</w:pPr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 xml:space="preserve">I. </w:t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Horbachevsky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Ternopil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State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Medical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University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br/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Ternopil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Town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Municipal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Clinical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Hospital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 xml:space="preserve"> No.2</w:t>
      </w:r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br/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Medical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Center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 xml:space="preserve"> “</w:t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Professor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Stefan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Khmil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Clinics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”</w:t>
      </w:r>
    </w:p>
    <w:p w:rsidR="00E02991" w:rsidRPr="00E02991" w:rsidRDefault="00E02991" w:rsidP="00E02991">
      <w:pPr>
        <w:suppressAutoHyphens/>
        <w:autoSpaceDE w:val="0"/>
        <w:autoSpaceDN w:val="0"/>
        <w:adjustRightInd w:val="0"/>
        <w:spacing w:before="113" w:after="0" w:line="288" w:lineRule="auto"/>
        <w:jc w:val="center"/>
        <w:textAlignment w:val="center"/>
        <w:rPr>
          <w:rFonts w:ascii="Times New Roman Cyr" w:hAnsi="Times New Roman Cyr" w:cs="Arimo"/>
          <w:b/>
          <w:bCs/>
          <w:caps/>
          <w:color w:val="000000"/>
          <w:sz w:val="24"/>
          <w:szCs w:val="24"/>
        </w:rPr>
      </w:pPr>
      <w:r w:rsidRPr="00E02991">
        <w:rPr>
          <w:rFonts w:ascii="Times New Roman Cyr" w:hAnsi="Times New Roman Cyr" w:cs="Arimo"/>
          <w:b/>
          <w:bCs/>
          <w:caps/>
          <w:color w:val="000000"/>
          <w:sz w:val="24"/>
          <w:szCs w:val="24"/>
        </w:rPr>
        <w:t xml:space="preserve">Influence of surgical intervention </w:t>
      </w:r>
      <w:r w:rsidRPr="00E02991">
        <w:rPr>
          <w:rFonts w:ascii="Times New Roman Cyr" w:hAnsi="Times New Roman Cyr" w:cs="Arimo"/>
          <w:b/>
          <w:bCs/>
          <w:caps/>
          <w:color w:val="000000"/>
          <w:sz w:val="24"/>
          <w:szCs w:val="24"/>
          <w:lang w:val="en-US"/>
        </w:rPr>
        <w:t>i</w:t>
      </w:r>
      <w:r w:rsidRPr="00E02991">
        <w:rPr>
          <w:rFonts w:ascii="Times New Roman Cyr" w:hAnsi="Times New Roman Cyr" w:cs="Arimo"/>
          <w:b/>
          <w:bCs/>
          <w:caps/>
          <w:color w:val="000000"/>
          <w:sz w:val="24"/>
          <w:szCs w:val="24"/>
        </w:rPr>
        <w:t>n patients with apoplexy of o</w:t>
      </w:r>
      <w:r w:rsidRPr="00E02991">
        <w:rPr>
          <w:rFonts w:ascii="Times New Roman Cyr" w:hAnsi="Times New Roman Cyr" w:cs="Arimo"/>
          <w:b/>
          <w:bCs/>
          <w:caps/>
          <w:color w:val="000000"/>
          <w:sz w:val="24"/>
          <w:szCs w:val="24"/>
          <w:lang w:val="en-US"/>
        </w:rPr>
        <w:t>varies</w:t>
      </w:r>
      <w:r w:rsidRPr="00E02991">
        <w:rPr>
          <w:rFonts w:ascii="Times New Roman Cyr" w:hAnsi="Times New Roman Cyr" w:cs="Arimo"/>
          <w:b/>
          <w:bCs/>
          <w:caps/>
          <w:color w:val="000000"/>
          <w:sz w:val="24"/>
          <w:szCs w:val="24"/>
        </w:rPr>
        <w:t xml:space="preserve"> in the aspect of preservation of ovarian reserve and improvement of efficiency of auxiliary reproductive technologies</w:t>
      </w:r>
    </w:p>
    <w:p w:rsidR="00E02991" w:rsidRPr="00E02991" w:rsidRDefault="00E02991" w:rsidP="00E02991">
      <w:pPr>
        <w:autoSpaceDE w:val="0"/>
        <w:autoSpaceDN w:val="0"/>
        <w:adjustRightInd w:val="0"/>
        <w:spacing w:after="0" w:line="212" w:lineRule="atLeast"/>
        <w:ind w:firstLine="283"/>
        <w:jc w:val="both"/>
        <w:textAlignment w:val="center"/>
        <w:rPr>
          <w:rFonts w:ascii="Times New Roman Cyr" w:hAnsi="Times New Roman Cyr" w:cs="Arimo"/>
          <w:b/>
          <w:bCs/>
          <w:color w:val="000000"/>
          <w:sz w:val="24"/>
          <w:szCs w:val="24"/>
        </w:rPr>
      </w:pPr>
    </w:p>
    <w:p w:rsidR="00E02991" w:rsidRPr="00E02991" w:rsidRDefault="00E02991" w:rsidP="00E02991">
      <w:pPr>
        <w:autoSpaceDE w:val="0"/>
        <w:autoSpaceDN w:val="0"/>
        <w:adjustRightInd w:val="0"/>
        <w:spacing w:after="0" w:line="288" w:lineRule="auto"/>
        <w:ind w:left="397"/>
        <w:jc w:val="both"/>
        <w:textAlignment w:val="center"/>
        <w:rPr>
          <w:rFonts w:ascii="Times New Roman Cyr" w:hAnsi="Times New Roman Cyr" w:cs="Arimo"/>
          <w:b/>
          <w:bCs/>
          <w:color w:val="000000"/>
          <w:spacing w:val="-3"/>
          <w:sz w:val="24"/>
          <w:szCs w:val="24"/>
        </w:rPr>
      </w:pPr>
      <w:proofErr w:type="spellStart"/>
      <w:r w:rsidRPr="00E02991">
        <w:rPr>
          <w:rFonts w:ascii="Times New Roman Cyr" w:hAnsi="Times New Roman Cyr" w:cs="Arimo"/>
          <w:b/>
          <w:bCs/>
          <w:color w:val="000000"/>
          <w:spacing w:val="-3"/>
          <w:sz w:val="24"/>
          <w:szCs w:val="24"/>
        </w:rPr>
        <w:t>Summary</w:t>
      </w:r>
      <w:proofErr w:type="spellEnd"/>
      <w:r w:rsidRPr="00E02991">
        <w:rPr>
          <w:rFonts w:ascii="Times New Roman Cyr" w:hAnsi="Times New Roman Cyr" w:cs="Arimo"/>
          <w:b/>
          <w:bCs/>
          <w:color w:val="000000"/>
          <w:spacing w:val="-3"/>
          <w:sz w:val="24"/>
          <w:szCs w:val="24"/>
        </w:rPr>
        <w:t xml:space="preserve">.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Gyneclogscal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diseases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,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requiring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surgical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treatment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,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acquire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a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special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role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among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reasons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that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may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lead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to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a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violation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reproductive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health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women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.</w:t>
      </w:r>
    </w:p>
    <w:p w:rsidR="00E02991" w:rsidRPr="00E02991" w:rsidRDefault="00E02991" w:rsidP="00E02991">
      <w:pPr>
        <w:autoSpaceDE w:val="0"/>
        <w:autoSpaceDN w:val="0"/>
        <w:adjustRightInd w:val="0"/>
        <w:spacing w:after="0" w:line="288" w:lineRule="auto"/>
        <w:ind w:left="397"/>
        <w:jc w:val="both"/>
        <w:textAlignment w:val="center"/>
        <w:rPr>
          <w:rFonts w:ascii="Times New Roman Cyr" w:hAnsi="Times New Roman Cyr" w:cs="Arimo"/>
          <w:color w:val="000000"/>
          <w:spacing w:val="-3"/>
          <w:sz w:val="24"/>
          <w:szCs w:val="24"/>
        </w:rPr>
      </w:pPr>
      <w:proofErr w:type="spellStart"/>
      <w:r w:rsidRPr="00E02991">
        <w:rPr>
          <w:rFonts w:ascii="Times New Roman Cyr" w:hAnsi="Times New Roman Cyr" w:cs="Arimo"/>
          <w:b/>
          <w:bCs/>
          <w:color w:val="000000"/>
          <w:spacing w:val="-3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b/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b/>
          <w:bCs/>
          <w:color w:val="000000"/>
          <w:spacing w:val="-3"/>
          <w:sz w:val="24"/>
          <w:szCs w:val="24"/>
        </w:rPr>
        <w:t>aim</w:t>
      </w:r>
      <w:proofErr w:type="spellEnd"/>
      <w:r w:rsidRPr="00E02991">
        <w:rPr>
          <w:rFonts w:ascii="Times New Roman Cyr" w:hAnsi="Times New Roman Cyr" w:cs="Arimo"/>
          <w:b/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b/>
          <w:bCs/>
          <w:color w:val="000000"/>
          <w:spacing w:val="-3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b/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b/>
          <w:bCs/>
          <w:color w:val="000000"/>
          <w:spacing w:val="-3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b/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b/>
          <w:bCs/>
          <w:color w:val="000000"/>
          <w:spacing w:val="-3"/>
          <w:sz w:val="24"/>
          <w:szCs w:val="24"/>
        </w:rPr>
        <w:t>study</w:t>
      </w:r>
      <w:proofErr w:type="spellEnd"/>
      <w:r w:rsidRPr="00E02991">
        <w:rPr>
          <w:rFonts w:ascii="Times New Roman Cyr" w:hAnsi="Times New Roman Cyr" w:cs="Arimo"/>
          <w:b/>
          <w:bCs/>
          <w:color w:val="000000"/>
          <w:spacing w:val="-3"/>
          <w:sz w:val="24"/>
          <w:szCs w:val="24"/>
          <w:lang w:val="en-US"/>
        </w:rPr>
        <w:t xml:space="preserve"> –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improvement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surgical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treatment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patients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with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apoplexy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ovaries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for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maximal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preservation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ovarian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reserve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.</w:t>
      </w:r>
    </w:p>
    <w:p w:rsidR="00E02991" w:rsidRPr="00E02991" w:rsidRDefault="00E02991" w:rsidP="00E02991">
      <w:pPr>
        <w:autoSpaceDE w:val="0"/>
        <w:autoSpaceDN w:val="0"/>
        <w:adjustRightInd w:val="0"/>
        <w:spacing w:after="0" w:line="288" w:lineRule="auto"/>
        <w:ind w:left="397"/>
        <w:jc w:val="both"/>
        <w:textAlignment w:val="center"/>
        <w:rPr>
          <w:rFonts w:ascii="Times New Roman Cyr" w:hAnsi="Times New Roman Cyr" w:cs="Arimo"/>
          <w:color w:val="000000"/>
          <w:spacing w:val="-2"/>
          <w:sz w:val="24"/>
          <w:szCs w:val="24"/>
          <w:lang w:val="en-US"/>
        </w:rPr>
      </w:pPr>
      <w:proofErr w:type="spellStart"/>
      <w:r w:rsidRPr="00E02991">
        <w:rPr>
          <w:rFonts w:ascii="Times New Roman Cyr" w:hAnsi="Times New Roman Cyr" w:cs="Arimo"/>
          <w:b/>
          <w:bCs/>
          <w:color w:val="000000"/>
          <w:spacing w:val="-2"/>
          <w:sz w:val="24"/>
          <w:szCs w:val="24"/>
        </w:rPr>
        <w:t>Materials</w:t>
      </w:r>
      <w:proofErr w:type="spellEnd"/>
      <w:r w:rsidRPr="00E02991">
        <w:rPr>
          <w:rFonts w:ascii="Times New Roman Cyr" w:hAnsi="Times New Roman Cyr" w:cs="Arimo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b/>
          <w:bCs/>
          <w:color w:val="000000"/>
          <w:spacing w:val="-2"/>
          <w:sz w:val="24"/>
          <w:szCs w:val="24"/>
        </w:rPr>
        <w:t>and</w:t>
      </w:r>
      <w:proofErr w:type="spellEnd"/>
      <w:r w:rsidRPr="00E02991">
        <w:rPr>
          <w:rFonts w:ascii="Times New Roman Cyr" w:hAnsi="Times New Roman Cyr" w:cs="Arimo"/>
          <w:b/>
          <w:bCs/>
          <w:color w:val="000000"/>
          <w:spacing w:val="-2"/>
          <w:sz w:val="24"/>
          <w:szCs w:val="24"/>
        </w:rPr>
        <w:t xml:space="preserve"> </w:t>
      </w:r>
      <w:r w:rsidRPr="00E02991">
        <w:rPr>
          <w:rFonts w:ascii="Times New Roman Cyr" w:hAnsi="Times New Roman Cyr" w:cs="Arimo"/>
          <w:b/>
          <w:bCs/>
          <w:color w:val="000000"/>
          <w:spacing w:val="-2"/>
          <w:sz w:val="24"/>
          <w:szCs w:val="24"/>
          <w:lang w:val="en-US"/>
        </w:rPr>
        <w:t>M</w:t>
      </w:r>
      <w:proofErr w:type="spellStart"/>
      <w:r w:rsidRPr="00E02991">
        <w:rPr>
          <w:rFonts w:ascii="Times New Roman Cyr" w:hAnsi="Times New Roman Cyr" w:cs="Arimo"/>
          <w:b/>
          <w:bCs/>
          <w:color w:val="000000"/>
          <w:spacing w:val="-2"/>
          <w:sz w:val="24"/>
          <w:szCs w:val="24"/>
        </w:rPr>
        <w:t>ethods</w:t>
      </w:r>
      <w:proofErr w:type="spellEnd"/>
      <w:r w:rsidRPr="00E02991">
        <w:rPr>
          <w:rFonts w:ascii="Times New Roman Cyr" w:hAnsi="Times New Roman Cyr" w:cs="Arimo"/>
          <w:b/>
          <w:bCs/>
          <w:color w:val="000000"/>
          <w:spacing w:val="-2"/>
          <w:sz w:val="24"/>
          <w:szCs w:val="24"/>
        </w:rPr>
        <w:t xml:space="preserve">.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We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conducted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a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retrospective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study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results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treatment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150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patients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with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ap</w:t>
      </w:r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  <w:lang w:val="en-US"/>
        </w:rPr>
        <w:t>oplexy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ovary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for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period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from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2014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to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2017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in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gynecological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department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Ternopil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  <w:lang w:val="en-US"/>
        </w:rPr>
        <w:t>C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ity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  <w:lang w:val="en-US"/>
        </w:rPr>
        <w:t>C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linical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  <w:lang w:val="en-US"/>
        </w:rPr>
        <w:t>H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ospital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  <w:lang w:val="en-US"/>
        </w:rPr>
        <w:t xml:space="preserve">No. </w:t>
      </w:r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2.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share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surgical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interventions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for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apoplexy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over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past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3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years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was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  <w:lang w:val="en-US"/>
        </w:rPr>
        <w:t>(</w:t>
      </w:r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11.5+0.5</w:t>
      </w:r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  <w:lang w:val="en-US"/>
        </w:rPr>
        <w:t>)</w:t>
      </w:r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%. A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total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120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women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were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included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in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study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. </w:t>
      </w:r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  <w:lang w:val="en-US"/>
        </w:rPr>
        <w:t>Among them –</w:t>
      </w:r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60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patients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with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ap</w:t>
      </w:r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  <w:lang w:val="en-US"/>
        </w:rPr>
        <w:t>oplexy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  <w:lang w:val="en-US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ov</w:t>
      </w:r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  <w:lang w:val="en-US"/>
        </w:rPr>
        <w:t>aries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,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who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performed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laparoscopic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surgery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for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first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proofErr w:type="gram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time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.</w:t>
      </w:r>
      <w:proofErr w:type="gram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These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patients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were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included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in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prospective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study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and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divided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into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two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groups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depending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on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hemostasis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method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used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during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operation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. </w:t>
      </w:r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  <w:lang w:val="en-US"/>
        </w:rPr>
        <w:t>G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roup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1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included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30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patients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with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hemostasis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,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whom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  <w:lang w:val="en-US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hemostasis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was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carried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out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using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bipolar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coagulation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,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group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2 </w:t>
      </w:r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  <w:lang w:val="en-US"/>
        </w:rPr>
        <w:t>–</w:t>
      </w:r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30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patients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,</w:t>
      </w:r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  <w:lang w:val="en-US"/>
        </w:rPr>
        <w:t xml:space="preserve"> whom</w:t>
      </w:r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bleeding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from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ovary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was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stopped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by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applying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sutures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.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comparison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group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consisted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30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patients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with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ap</w:t>
      </w:r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  <w:lang w:val="en-US"/>
        </w:rPr>
        <w:t>oplexy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ov</w:t>
      </w:r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  <w:lang w:val="en-US"/>
        </w:rPr>
        <w:t>aries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,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who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received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conservative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treatment</w:t>
      </w:r>
      <w:proofErr w:type="spell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</w:rPr>
        <w:t>.</w:t>
      </w:r>
    </w:p>
    <w:p w:rsidR="00E02991" w:rsidRPr="00E02991" w:rsidRDefault="00E02991" w:rsidP="00E02991">
      <w:pPr>
        <w:autoSpaceDE w:val="0"/>
        <w:autoSpaceDN w:val="0"/>
        <w:adjustRightInd w:val="0"/>
        <w:spacing w:after="0" w:line="288" w:lineRule="auto"/>
        <w:ind w:left="397"/>
        <w:jc w:val="both"/>
        <w:textAlignment w:val="center"/>
        <w:rPr>
          <w:rFonts w:ascii="Times New Roman Cyr" w:hAnsi="Times New Roman Cyr" w:cs="Arimo"/>
          <w:color w:val="000000"/>
          <w:spacing w:val="-3"/>
          <w:sz w:val="24"/>
          <w:szCs w:val="24"/>
        </w:rPr>
      </w:pPr>
      <w:proofErr w:type="gramStart"/>
      <w:r w:rsidRPr="00E02991">
        <w:rPr>
          <w:rFonts w:ascii="Times New Roman Cyr" w:hAnsi="Times New Roman Cyr" w:cs="Arimo"/>
          <w:b/>
          <w:bCs/>
          <w:color w:val="000000"/>
          <w:spacing w:val="-3"/>
          <w:sz w:val="24"/>
          <w:szCs w:val="24"/>
          <w:lang w:val="en-US"/>
        </w:rPr>
        <w:t>Results and Discussion.</w:t>
      </w:r>
      <w:proofErr w:type="gramEnd"/>
      <w:r w:rsidRPr="00E02991">
        <w:rPr>
          <w:rFonts w:ascii="Times New Roman Cyr" w:hAnsi="Times New Roman Cyr" w:cs="Arimo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apoplexy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ovary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in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40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  <w:lang w:val="en-US"/>
        </w:rPr>
        <w:t xml:space="preserve"> 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%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cases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requires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an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emergency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surgical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intervention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,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which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leads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to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loss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part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body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[5,10].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In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postoperative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period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,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there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is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a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deterioration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reproductive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health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,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hormonal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homeostasis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,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and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circulatory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disorders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,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which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are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caused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not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only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by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trauma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ovary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and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reduction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ovarian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reserve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,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but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also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appearance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joint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process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in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pelvic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organs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[7,10].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Stopping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bleeding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in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patients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with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  <w:lang w:val="en-US"/>
        </w:rPr>
        <w:t>apoplexy of ovaries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with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bipolar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electrosurgery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is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faster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but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leads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to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a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more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significant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decrease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in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ovarian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reserve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(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  <w:lang w:val="en-US"/>
        </w:rPr>
        <w:t>anti-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  <w:lang w:val="en-US"/>
        </w:rPr>
        <w:t>Mullerian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  <w:lang w:val="en-US"/>
        </w:rPr>
        <w:t xml:space="preserve"> hormone (AMH) – 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30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  <w:lang w:val="en-US"/>
        </w:rPr>
        <w:t xml:space="preserve"> 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%, 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  <w:lang w:val="en-US"/>
        </w:rPr>
        <w:t>antral follicle (AF) –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10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  <w:lang w:val="en-US"/>
        </w:rPr>
        <w:t xml:space="preserve"> 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%)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than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use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hemostatic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sutures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for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this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purpose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(AM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  <w:lang w:val="en-US"/>
        </w:rPr>
        <w:t>H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  <w:lang w:val="en-US"/>
        </w:rPr>
        <w:t>on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22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  <w:lang w:val="en-US"/>
        </w:rPr>
        <w:t xml:space="preserve"> 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%, AF 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  <w:lang w:val="en-US"/>
        </w:rPr>
        <w:t>on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8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  <w:lang w:val="en-US"/>
        </w:rPr>
        <w:t xml:space="preserve"> 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% ) (p &lt;0.05).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In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order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to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maximally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maintain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ovarian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reserve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in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operations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in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women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with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ap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  <w:lang w:val="en-US"/>
        </w:rPr>
        <w:t>oplexy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ovaries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,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it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is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always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best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to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carry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out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hemostasis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by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extracting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a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cyst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capsule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within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healthy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tissues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and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superimposing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ovarian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wound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resorptive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synthetic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sutures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with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subsequent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intracorporal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binding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nodes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.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Regardless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hemostasis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method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used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during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surgical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treatment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with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applexia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ovaries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in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patients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36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years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age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and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older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,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there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is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a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greater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reduction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in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ovarian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reserve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(AM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  <w:lang w:val="en-US"/>
        </w:rPr>
        <w:t xml:space="preserve">H – 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30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  <w:lang w:val="en-US"/>
        </w:rPr>
        <w:t xml:space="preserve"> 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%, AF 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  <w:lang w:val="en-US"/>
        </w:rPr>
        <w:t xml:space="preserve">– on 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20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  <w:lang w:val="en-US"/>
        </w:rPr>
        <w:t xml:space="preserve"> 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%)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than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in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patients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whose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age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is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less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than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35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years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(AM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  <w:lang w:val="en-US"/>
        </w:rPr>
        <w:t>H –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20 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lastRenderedPageBreak/>
        <w:t xml:space="preserve">%, AF 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  <w:lang w:val="en-US"/>
        </w:rPr>
        <w:t>–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12%) (p &lt;0.05).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For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patients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with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a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delivered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childbearing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function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,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regardless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age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and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all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patients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under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age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35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years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undergoing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surgery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for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ap</w:t>
      </w:r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  <w:lang w:val="en-US"/>
        </w:rPr>
        <w:t>oplexy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ovaries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for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first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time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,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bipolar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coagulation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is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permissible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to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stop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bleeding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.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In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implementation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bipolar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hemostasis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in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patients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with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applexia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ovaries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,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spot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coagulation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blood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vessels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should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be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performed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,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avoiding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damage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to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surrounding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tissues</w:t>
      </w:r>
      <w:proofErr w:type="spellEnd"/>
      <w:r w:rsidRPr="00E02991">
        <w:rPr>
          <w:rFonts w:ascii="Times New Roman Cyr" w:hAnsi="Times New Roman Cyr" w:cs="Arimo"/>
          <w:color w:val="000000"/>
          <w:spacing w:val="-3"/>
          <w:sz w:val="24"/>
          <w:szCs w:val="24"/>
        </w:rPr>
        <w:t>.</w:t>
      </w:r>
    </w:p>
    <w:p w:rsidR="00E02991" w:rsidRPr="00E02991" w:rsidRDefault="00E02991" w:rsidP="00E02991">
      <w:pPr>
        <w:autoSpaceDE w:val="0"/>
        <w:autoSpaceDN w:val="0"/>
        <w:adjustRightInd w:val="0"/>
        <w:spacing w:after="0" w:line="288" w:lineRule="auto"/>
        <w:ind w:left="397"/>
        <w:jc w:val="both"/>
        <w:textAlignment w:val="center"/>
        <w:rPr>
          <w:rFonts w:ascii="Times New Roman Cyr" w:hAnsi="Times New Roman Cyr" w:cs="Arimo"/>
          <w:color w:val="000000"/>
          <w:sz w:val="24"/>
          <w:szCs w:val="24"/>
        </w:rPr>
      </w:pPr>
      <w:proofErr w:type="spellStart"/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</w:rPr>
        <w:t>Conclusion</w:t>
      </w:r>
      <w:proofErr w:type="spellEnd"/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  <w:lang w:val="en-US"/>
        </w:rPr>
        <w:t>s</w:t>
      </w:r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</w:rPr>
        <w:t>.</w:t>
      </w:r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Performing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operative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intervention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in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a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sparing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volume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with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maximal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preservation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healthy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tissue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allows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preserving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ovarian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reserve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and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reproductive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health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of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women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>.</w:t>
      </w:r>
    </w:p>
    <w:p w:rsidR="00E02991" w:rsidRPr="00E02991" w:rsidRDefault="00E02991" w:rsidP="00E02991">
      <w:pPr>
        <w:autoSpaceDE w:val="0"/>
        <w:autoSpaceDN w:val="0"/>
        <w:adjustRightInd w:val="0"/>
        <w:spacing w:before="113" w:after="0" w:line="288" w:lineRule="auto"/>
        <w:ind w:left="397"/>
        <w:jc w:val="both"/>
        <w:textAlignment w:val="center"/>
        <w:rPr>
          <w:rFonts w:ascii="Times New Roman Cyr" w:hAnsi="Times New Roman Cyr" w:cs="Arimo"/>
          <w:color w:val="000000"/>
          <w:sz w:val="24"/>
          <w:szCs w:val="24"/>
        </w:rPr>
      </w:pPr>
      <w:proofErr w:type="spellStart"/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</w:rPr>
        <w:t>Key</w:t>
      </w:r>
      <w:proofErr w:type="spellEnd"/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</w:rPr>
        <w:t>words</w:t>
      </w:r>
      <w:proofErr w:type="spellEnd"/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</w:rPr>
        <w:t>:</w:t>
      </w:r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ovarian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apoplexy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  <w:lang w:val="en-US"/>
        </w:rPr>
        <w:t>;</w:t>
      </w:r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ovarian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reserve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  <w:lang w:val="en-US"/>
        </w:rPr>
        <w:t>;</w:t>
      </w:r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aps/>
          <w:color w:val="000000"/>
          <w:sz w:val="24"/>
          <w:szCs w:val="24"/>
        </w:rPr>
        <w:t>a</w:t>
      </w:r>
      <w:r w:rsidRPr="00E02991">
        <w:rPr>
          <w:rFonts w:ascii="Times New Roman Cyr" w:hAnsi="Times New Roman Cyr" w:cs="Arimo"/>
          <w:color w:val="000000"/>
          <w:sz w:val="24"/>
          <w:szCs w:val="24"/>
        </w:rPr>
        <w:t>nti-</w:t>
      </w:r>
      <w:r w:rsidRPr="00E02991">
        <w:rPr>
          <w:rFonts w:ascii="Times New Roman Cyr" w:hAnsi="Times New Roman Cyr" w:cs="Arimo"/>
          <w:caps/>
          <w:color w:val="000000"/>
          <w:sz w:val="24"/>
          <w:szCs w:val="24"/>
        </w:rPr>
        <w:t>m</w:t>
      </w:r>
      <w:r w:rsidRPr="00E02991">
        <w:rPr>
          <w:rFonts w:ascii="Times New Roman Cyr" w:hAnsi="Times New Roman Cyr" w:cs="Arimo"/>
          <w:color w:val="000000"/>
          <w:sz w:val="24"/>
          <w:szCs w:val="24"/>
        </w:rPr>
        <w:t>ullerian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hormone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;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surgical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operations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on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the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appendices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  <w:lang w:val="en-US"/>
        </w:rPr>
        <w:t>;</w:t>
      </w:r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auxiliary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reproductive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</w:rPr>
        <w:t>technologies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</w:rPr>
        <w:t>.</w:t>
      </w:r>
    </w:p>
    <w:p w:rsidR="00E02991" w:rsidRPr="00E02991" w:rsidRDefault="00E02991" w:rsidP="00E02991">
      <w:pPr>
        <w:autoSpaceDE w:val="0"/>
        <w:autoSpaceDN w:val="0"/>
        <w:adjustRightInd w:val="0"/>
        <w:spacing w:after="0" w:line="212" w:lineRule="atLeast"/>
        <w:ind w:firstLine="283"/>
        <w:jc w:val="both"/>
        <w:textAlignment w:val="center"/>
        <w:rPr>
          <w:rFonts w:ascii="Times New Roman Cyr" w:hAnsi="Times New Roman Cyr" w:cs="Arimo"/>
          <w:color w:val="000000"/>
          <w:sz w:val="24"/>
          <w:szCs w:val="24"/>
        </w:rPr>
      </w:pPr>
    </w:p>
    <w:p w:rsidR="00E02991" w:rsidRPr="00E02991" w:rsidRDefault="00E02991" w:rsidP="00E02991">
      <w:pPr>
        <w:autoSpaceDE w:val="0"/>
        <w:autoSpaceDN w:val="0"/>
        <w:adjustRightInd w:val="0"/>
        <w:spacing w:after="0" w:line="212" w:lineRule="atLeast"/>
        <w:ind w:firstLine="283"/>
        <w:jc w:val="both"/>
        <w:textAlignment w:val="center"/>
        <w:rPr>
          <w:rFonts w:ascii="Times New Roman Cyr" w:hAnsi="Times New Roman Cyr" w:cs="Arimo"/>
          <w:color w:val="000000"/>
          <w:sz w:val="24"/>
          <w:szCs w:val="24"/>
        </w:rPr>
      </w:pPr>
    </w:p>
    <w:p w:rsidR="00E02991" w:rsidRPr="00E02991" w:rsidRDefault="00E02991" w:rsidP="00E02991">
      <w:pPr>
        <w:suppressAutoHyphens/>
        <w:autoSpaceDE w:val="0"/>
        <w:autoSpaceDN w:val="0"/>
        <w:adjustRightInd w:val="0"/>
        <w:spacing w:after="0" w:line="212" w:lineRule="atLeast"/>
        <w:ind w:firstLine="283"/>
        <w:jc w:val="right"/>
        <w:textAlignment w:val="center"/>
        <w:rPr>
          <w:rFonts w:ascii="Times New Roman Cyr" w:hAnsi="Times New Roman Cyr" w:cs="Arimo"/>
          <w:b/>
          <w:bCs/>
          <w:color w:val="000000"/>
          <w:sz w:val="24"/>
          <w:szCs w:val="24"/>
        </w:rPr>
      </w:pPr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</w:rPr>
        <w:t xml:space="preserve">©О. Н. </w:t>
      </w:r>
      <w:proofErr w:type="spellStart"/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</w:rPr>
        <w:t>Ищак</w:t>
      </w:r>
      <w:proofErr w:type="spellEnd"/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</w:rPr>
        <w:t xml:space="preserve">, М. Р. </w:t>
      </w:r>
      <w:proofErr w:type="spellStart"/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</w:rPr>
        <w:t>Семкив</w:t>
      </w:r>
      <w:proofErr w:type="spellEnd"/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</w:rPr>
        <w:t xml:space="preserve">, М. С. </w:t>
      </w:r>
      <w:proofErr w:type="spellStart"/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</w:rPr>
        <w:t>Хмиль</w:t>
      </w:r>
      <w:proofErr w:type="spellEnd"/>
    </w:p>
    <w:p w:rsidR="00E02991" w:rsidRPr="00E02991" w:rsidRDefault="00E02991" w:rsidP="00E02991">
      <w:pPr>
        <w:suppressAutoHyphens/>
        <w:autoSpaceDE w:val="0"/>
        <w:autoSpaceDN w:val="0"/>
        <w:adjustRightInd w:val="0"/>
        <w:spacing w:before="57" w:after="0" w:line="212" w:lineRule="atLeast"/>
        <w:jc w:val="right"/>
        <w:textAlignment w:val="center"/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</w:pPr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ГВУЗ “</w:t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Тернопольский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государственный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медицинский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университет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имени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 xml:space="preserve"> И. Я. </w:t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Горбачевского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”</w:t>
      </w:r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br/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Тернопольская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городская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коммунальная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клиническая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больница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 xml:space="preserve"> № 2</w:t>
      </w:r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br/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Медицинский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 xml:space="preserve"> центр “</w:t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Клиника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профессора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 xml:space="preserve"> Стефана </w:t>
      </w:r>
      <w:proofErr w:type="spellStart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Хмиля</w:t>
      </w:r>
      <w:proofErr w:type="spellEnd"/>
      <w:r w:rsidRPr="00E02991">
        <w:rPr>
          <w:rFonts w:ascii="Times New Roman Cyr" w:hAnsi="Times New Roman Cyr" w:cs="Arimo"/>
          <w:b/>
          <w:bCs/>
          <w:i/>
          <w:iCs/>
          <w:color w:val="000000"/>
          <w:sz w:val="24"/>
          <w:szCs w:val="24"/>
        </w:rPr>
        <w:t>”</w:t>
      </w:r>
    </w:p>
    <w:p w:rsidR="00E02991" w:rsidRPr="00E02991" w:rsidRDefault="00E02991" w:rsidP="00E02991">
      <w:pPr>
        <w:suppressAutoHyphens/>
        <w:autoSpaceDE w:val="0"/>
        <w:autoSpaceDN w:val="0"/>
        <w:adjustRightInd w:val="0"/>
        <w:spacing w:before="113" w:after="0" w:line="288" w:lineRule="auto"/>
        <w:jc w:val="center"/>
        <w:textAlignment w:val="center"/>
        <w:rPr>
          <w:rFonts w:ascii="Times New Roman Cyr" w:hAnsi="Times New Roman Cyr" w:cs="Arimo"/>
          <w:b/>
          <w:bCs/>
          <w:caps/>
          <w:color w:val="000000"/>
          <w:sz w:val="24"/>
          <w:szCs w:val="24"/>
        </w:rPr>
      </w:pPr>
      <w:r w:rsidRPr="00E02991">
        <w:rPr>
          <w:rFonts w:ascii="Times New Roman Cyr" w:hAnsi="Times New Roman Cyr" w:cs="Arimo"/>
          <w:b/>
          <w:bCs/>
          <w:caps/>
          <w:color w:val="000000"/>
          <w:sz w:val="24"/>
          <w:szCs w:val="24"/>
        </w:rPr>
        <w:t>Влияние хирургического вмешательства на пациенток с апоплексией яичника в аспекте сохранения овариального резерва и улучшения эффективности вспомогательных репродуктивных технологий</w:t>
      </w:r>
    </w:p>
    <w:p w:rsidR="00E02991" w:rsidRPr="00E02991" w:rsidRDefault="00E02991" w:rsidP="00E02991">
      <w:pPr>
        <w:autoSpaceDE w:val="0"/>
        <w:autoSpaceDN w:val="0"/>
        <w:adjustRightInd w:val="0"/>
        <w:spacing w:after="0" w:line="288" w:lineRule="auto"/>
        <w:ind w:left="397"/>
        <w:jc w:val="both"/>
        <w:textAlignment w:val="center"/>
        <w:rPr>
          <w:rFonts w:ascii="Times New Roman Cyr" w:hAnsi="Times New Roman Cyr" w:cs="Arimo"/>
          <w:b/>
          <w:bCs/>
          <w:color w:val="000000"/>
          <w:sz w:val="24"/>
          <w:szCs w:val="24"/>
          <w:lang w:val="ru-RU"/>
        </w:rPr>
      </w:pPr>
    </w:p>
    <w:p w:rsidR="00E02991" w:rsidRPr="00E02991" w:rsidRDefault="00E02991" w:rsidP="00E02991">
      <w:pPr>
        <w:autoSpaceDE w:val="0"/>
        <w:autoSpaceDN w:val="0"/>
        <w:adjustRightInd w:val="0"/>
        <w:spacing w:after="0" w:line="288" w:lineRule="auto"/>
        <w:ind w:left="397"/>
        <w:jc w:val="both"/>
        <w:textAlignment w:val="center"/>
        <w:rPr>
          <w:rFonts w:ascii="Times New Roman Cyr" w:hAnsi="Times New Roman Cyr" w:cs="Arimo"/>
          <w:color w:val="000000"/>
          <w:sz w:val="24"/>
          <w:szCs w:val="24"/>
          <w:lang w:val="ru-RU"/>
        </w:rPr>
      </w:pPr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  <w:lang w:val="ru-RU"/>
        </w:rPr>
        <w:t xml:space="preserve">Резюме. </w:t>
      </w:r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>Среди причин, которые могут привести к нарушению репродуктивного здоровья женщин, особую роль приобретают гинекологические заболевания, которые требуют хирургического лечения.</w:t>
      </w:r>
    </w:p>
    <w:p w:rsidR="00E02991" w:rsidRPr="00E02991" w:rsidRDefault="00E02991" w:rsidP="00E02991">
      <w:pPr>
        <w:autoSpaceDE w:val="0"/>
        <w:autoSpaceDN w:val="0"/>
        <w:adjustRightInd w:val="0"/>
        <w:spacing w:after="0" w:line="288" w:lineRule="auto"/>
        <w:ind w:left="397"/>
        <w:jc w:val="both"/>
        <w:textAlignment w:val="center"/>
        <w:rPr>
          <w:rFonts w:ascii="Times New Roman Cyr" w:hAnsi="Times New Roman Cyr" w:cs="Arimo"/>
          <w:color w:val="000000"/>
          <w:sz w:val="24"/>
          <w:szCs w:val="24"/>
          <w:lang w:val="ru-RU"/>
        </w:rPr>
      </w:pPr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  <w:lang w:val="ru-RU"/>
        </w:rPr>
        <w:t xml:space="preserve">Цель исследования </w:t>
      </w:r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>–</w:t>
      </w:r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  <w:lang w:val="ru-RU"/>
        </w:rPr>
        <w:t xml:space="preserve"> </w:t>
      </w:r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>улучшить хирургическое лечение больных апоплексией яичников (АЯ) для максимального сохранения овариального резерва.</w:t>
      </w:r>
    </w:p>
    <w:p w:rsidR="00E02991" w:rsidRPr="00E02991" w:rsidRDefault="00E02991" w:rsidP="00E02991">
      <w:pPr>
        <w:autoSpaceDE w:val="0"/>
        <w:autoSpaceDN w:val="0"/>
        <w:adjustRightInd w:val="0"/>
        <w:spacing w:after="0" w:line="288" w:lineRule="auto"/>
        <w:ind w:left="397"/>
        <w:jc w:val="both"/>
        <w:textAlignment w:val="center"/>
        <w:rPr>
          <w:rFonts w:ascii="Times New Roman Cyr" w:hAnsi="Times New Roman Cyr" w:cs="Arimo"/>
          <w:color w:val="000000"/>
          <w:sz w:val="24"/>
          <w:szCs w:val="24"/>
          <w:lang w:val="ru-RU"/>
        </w:rPr>
      </w:pPr>
      <w:r w:rsidRPr="00E02991">
        <w:rPr>
          <w:rFonts w:ascii="Times New Roman Cyr" w:hAnsi="Times New Roman Cyr" w:cs="Arimo"/>
          <w:b/>
          <w:bCs/>
          <w:color w:val="000000"/>
          <w:spacing w:val="-2"/>
          <w:sz w:val="24"/>
          <w:szCs w:val="24"/>
          <w:lang w:val="ru-RU"/>
        </w:rPr>
        <w:t>Материалы и методы.</w:t>
      </w:r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  <w:lang w:val="ru-RU"/>
        </w:rPr>
        <w:t xml:space="preserve"> Мы провели ретроспективное изучение результатов лечения 150 больных </w:t>
      </w:r>
      <w:proofErr w:type="gram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  <w:lang w:val="ru-RU"/>
        </w:rPr>
        <w:t>с</w:t>
      </w:r>
      <w:proofErr w:type="gram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  <w:lang w:val="ru-RU"/>
        </w:rPr>
        <w:t xml:space="preserve"> </w:t>
      </w:r>
      <w:proofErr w:type="gramStart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  <w:lang w:val="ru-RU"/>
        </w:rPr>
        <w:t>апоплексия</w:t>
      </w:r>
      <w:proofErr w:type="gramEnd"/>
      <w:r w:rsidRPr="00E02991">
        <w:rPr>
          <w:rFonts w:ascii="Times New Roman Cyr" w:hAnsi="Times New Roman Cyr" w:cs="Arimo"/>
          <w:color w:val="000000"/>
          <w:spacing w:val="-2"/>
          <w:sz w:val="24"/>
          <w:szCs w:val="24"/>
          <w:lang w:val="ru-RU"/>
        </w:rPr>
        <w:t xml:space="preserve"> яичника за период с 2014 по 2017 г. в гинекологическом отделении Тернопольской городской коммунальной клинической больницы № 2. </w:t>
      </w:r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 xml:space="preserve">Удельный вес оперативных вмешательств по поводу апоплексии яичника за последние 3 года составил (11,5±0,5) %. Всего в исследование было включено 120 женщин, из них 60 больных АЯ, которым проведена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>лапароскопическая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 xml:space="preserve"> операция впервые. Эти пациентки были включены в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>проспективное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 xml:space="preserve"> исследование и разделены на две группы в зависимости от использованного во время операции метода гемостаза. В первую группу вошли 30 больных, гемостаз которым осуществлялся с помощью биполярной коагуляции, во вторую группу – 30 больных, кровотечение из яичника в которых было остановлено с помощью наложения швов. Группу сравнения составили 30 женщин с АЯ, которые получили консервативное лечение.</w:t>
      </w:r>
    </w:p>
    <w:p w:rsidR="00E02991" w:rsidRPr="00E02991" w:rsidRDefault="00E02991" w:rsidP="00E02991">
      <w:pPr>
        <w:autoSpaceDE w:val="0"/>
        <w:autoSpaceDN w:val="0"/>
        <w:adjustRightInd w:val="0"/>
        <w:spacing w:after="0" w:line="288" w:lineRule="auto"/>
        <w:ind w:left="397"/>
        <w:jc w:val="both"/>
        <w:textAlignment w:val="center"/>
        <w:rPr>
          <w:rFonts w:ascii="Times New Roman Cyr" w:hAnsi="Times New Roman Cyr" w:cs="Arimo"/>
          <w:color w:val="000000"/>
          <w:sz w:val="24"/>
          <w:szCs w:val="24"/>
          <w:lang w:val="ru-RU"/>
        </w:rPr>
      </w:pPr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  <w:lang w:val="ru-RU"/>
        </w:rPr>
        <w:t xml:space="preserve">Результаты исследований и их обсуждение. </w:t>
      </w:r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>Апоплексия яичника в 40 % случаях требует экстренного оперативного вмешательства, которое приводит к потере части органа. В послеоперационном периоде наблюдается ухудшение нарушенного репродуктивного здоровья, гормонального гомеостаза, нарушение кровообращения, которые обусловлены не только травмой яичника и снижением овариального резерва, но и возникновением спаечного процесса в органах малого таза.</w:t>
      </w:r>
    </w:p>
    <w:p w:rsidR="00E02991" w:rsidRPr="00E02991" w:rsidRDefault="00E02991" w:rsidP="00E02991">
      <w:pPr>
        <w:autoSpaceDE w:val="0"/>
        <w:autoSpaceDN w:val="0"/>
        <w:adjustRightInd w:val="0"/>
        <w:spacing w:after="0" w:line="288" w:lineRule="auto"/>
        <w:ind w:left="397"/>
        <w:jc w:val="both"/>
        <w:textAlignment w:val="center"/>
        <w:rPr>
          <w:rFonts w:ascii="Times New Roman Cyr" w:hAnsi="Times New Roman Cyr" w:cs="Arimo"/>
          <w:color w:val="000000"/>
          <w:sz w:val="24"/>
          <w:szCs w:val="24"/>
          <w:lang w:val="ru-RU"/>
        </w:rPr>
      </w:pPr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lastRenderedPageBreak/>
        <w:t xml:space="preserve">Остановка кровотечения у больных АЯ с помощью биполярной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>электрохирургии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 xml:space="preserve"> осуществляется быстрее, но приводит к более значительному снижению ОР (АМГ – на 30 %, АФ – на 10 %), чем применение с этой целью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>гемостатических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 xml:space="preserve"> швов (АМГ – на 22 %, АФ – на 8 %) (</w:t>
      </w:r>
      <w:proofErr w:type="gramStart"/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>р</w:t>
      </w:r>
      <w:proofErr w:type="gramEnd"/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 xml:space="preserve">&lt;0,05). С целью максимального сохранения овариального резерва при операциях у женщин с АЯ всегда лучше осуществлять гемостаз путем вылущивания капсулы кисты в пределах здоровых тканей и наложением на рану яичника рассасывающих синтетических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>ареактивных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 xml:space="preserve"> швов с последующим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>интракорпоральным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 xml:space="preserve"> завязыванием узлов. Независимо от используемого метода гемостаза во время хирургического лечения АЯ у больных 36 лет и старше, наблюдается большее снижение ОР (АМГ – на 30 %, АФ – на 20 %), чем у больных, чей возраст не превышает 35 лет (АМГ – на </w:t>
      </w:r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br/>
        <w:t>20 %, АФ – на 12 %) (</w:t>
      </w:r>
      <w:proofErr w:type="gramStart"/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>р</w:t>
      </w:r>
      <w:proofErr w:type="gramEnd"/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>&lt;0,05). У больных с реализованной детородной функцией независимо от возраста и у всех больных в возрасте до 35 лет, подвергающихся операции по поводу АЯ впервые, для остановки кровотечения допустимо использование биполярной коагуляции. При осуществлении биполярного гемостаза у больных АЯ следует проводить точечную коагуляцию кровоточащих сосудов, избегая повреждения окружающих тканей.</w:t>
      </w:r>
    </w:p>
    <w:p w:rsidR="00E02991" w:rsidRPr="00E02991" w:rsidRDefault="00E02991" w:rsidP="00E02991">
      <w:pPr>
        <w:autoSpaceDE w:val="0"/>
        <w:autoSpaceDN w:val="0"/>
        <w:adjustRightInd w:val="0"/>
        <w:spacing w:after="0" w:line="288" w:lineRule="auto"/>
        <w:ind w:left="397"/>
        <w:jc w:val="both"/>
        <w:textAlignment w:val="center"/>
        <w:rPr>
          <w:rFonts w:ascii="Times New Roman Cyr" w:hAnsi="Times New Roman Cyr" w:cs="Arimo"/>
          <w:color w:val="000000"/>
          <w:sz w:val="24"/>
          <w:szCs w:val="24"/>
          <w:lang w:val="ru-RU"/>
        </w:rPr>
      </w:pPr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  <w:lang w:val="ru-RU"/>
        </w:rPr>
        <w:t>Выводы.</w:t>
      </w:r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 xml:space="preserve"> Выполнение оперативного вмешательства в щадящем объеме с максимальным сохранением здоровой ткани позволяет сохранить яичниковый резерв и репродуктивное здоровье женщины.</w:t>
      </w:r>
    </w:p>
    <w:p w:rsidR="00E02991" w:rsidRPr="00E02991" w:rsidRDefault="00E02991" w:rsidP="00E02991">
      <w:pPr>
        <w:autoSpaceDE w:val="0"/>
        <w:autoSpaceDN w:val="0"/>
        <w:adjustRightInd w:val="0"/>
        <w:spacing w:before="113" w:after="0" w:line="288" w:lineRule="auto"/>
        <w:ind w:left="397"/>
        <w:jc w:val="both"/>
        <w:textAlignment w:val="center"/>
        <w:rPr>
          <w:rFonts w:ascii="Times New Roman Cyr" w:hAnsi="Times New Roman Cyr" w:cs="Arimo"/>
          <w:color w:val="000000"/>
          <w:sz w:val="24"/>
          <w:szCs w:val="24"/>
          <w:lang w:val="ru-RU"/>
        </w:rPr>
      </w:pPr>
      <w:r w:rsidRPr="00E02991">
        <w:rPr>
          <w:rFonts w:ascii="Times New Roman Cyr" w:hAnsi="Times New Roman Cyr" w:cs="Arimo"/>
          <w:b/>
          <w:bCs/>
          <w:color w:val="000000"/>
          <w:sz w:val="24"/>
          <w:szCs w:val="24"/>
          <w:lang w:val="ru-RU"/>
        </w:rPr>
        <w:t>Ключевые слова:</w:t>
      </w:r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 xml:space="preserve"> апоплексия яичника; овариальный резерв;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>антимюллеров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 xml:space="preserve"> гормон; хирургические операции на придатках; вспомогательные репродуктивные технологии.</w:t>
      </w:r>
    </w:p>
    <w:p w:rsidR="008A50A6" w:rsidRDefault="008A50A6" w:rsidP="008A50A6">
      <w:pPr>
        <w:autoSpaceDE w:val="0"/>
        <w:autoSpaceDN w:val="0"/>
        <w:adjustRightInd w:val="0"/>
        <w:spacing w:after="0" w:line="288" w:lineRule="auto"/>
        <w:textAlignment w:val="center"/>
        <w:rPr>
          <w:rFonts w:ascii="Times New Roman Cyr" w:hAnsi="Times New Roman Cyr" w:cs="Arimo"/>
          <w:color w:val="000000"/>
          <w:sz w:val="24"/>
          <w:szCs w:val="24"/>
          <w:lang w:val="ru-RU"/>
        </w:rPr>
      </w:pPr>
    </w:p>
    <w:p w:rsidR="008A50A6" w:rsidRPr="00E02991" w:rsidRDefault="008A50A6" w:rsidP="008A50A6">
      <w:pPr>
        <w:autoSpaceDE w:val="0"/>
        <w:autoSpaceDN w:val="0"/>
        <w:adjustRightInd w:val="0"/>
        <w:spacing w:after="0" w:line="288" w:lineRule="auto"/>
        <w:textAlignment w:val="center"/>
        <w:rPr>
          <w:rFonts w:ascii="Times New Roman Cyr" w:hAnsi="Times New Roman Cyr" w:cs="Arial"/>
          <w:color w:val="000000"/>
          <w:sz w:val="24"/>
          <w:szCs w:val="24"/>
          <w:lang w:val="ru-RU"/>
        </w:rPr>
      </w:pPr>
      <w:bookmarkStart w:id="0" w:name="_GoBack"/>
      <w:bookmarkEnd w:id="0"/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>Електронна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 xml:space="preserve"> адреса для </w:t>
      </w:r>
      <w:proofErr w:type="spellStart"/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>листування</w:t>
      </w:r>
      <w:proofErr w:type="spellEnd"/>
      <w:r w:rsidRPr="00E02991">
        <w:rPr>
          <w:rFonts w:ascii="Times New Roman Cyr" w:hAnsi="Times New Roman Cyr" w:cs="Arimo"/>
          <w:color w:val="000000"/>
          <w:sz w:val="24"/>
          <w:szCs w:val="24"/>
          <w:lang w:val="ru-RU"/>
        </w:rPr>
        <w:t>: ishchak@ukr.net</w:t>
      </w:r>
    </w:p>
    <w:p w:rsidR="00E02991" w:rsidRPr="00E02991" w:rsidRDefault="00E02991">
      <w:pPr>
        <w:rPr>
          <w:rFonts w:ascii="Times New Roman Cyr" w:hAnsi="Times New Roman Cyr"/>
          <w:sz w:val="24"/>
          <w:szCs w:val="24"/>
        </w:rPr>
      </w:pPr>
    </w:p>
    <w:sectPr w:rsidR="00E02991" w:rsidRPr="00E029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91"/>
    <w:rsid w:val="002E7F62"/>
    <w:rsid w:val="005A2E96"/>
    <w:rsid w:val="008A50A6"/>
    <w:rsid w:val="00AA7226"/>
    <w:rsid w:val="00E0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uiPriority w:val="99"/>
    <w:rsid w:val="00E02991"/>
    <w:pPr>
      <w:autoSpaceDE w:val="0"/>
      <w:autoSpaceDN w:val="0"/>
      <w:adjustRightInd w:val="0"/>
      <w:spacing w:after="0" w:line="212" w:lineRule="atLeast"/>
      <w:ind w:firstLine="283"/>
      <w:jc w:val="both"/>
      <w:textAlignment w:val="center"/>
    </w:pPr>
    <w:rPr>
      <w:rFonts w:ascii="Arimo" w:hAnsi="Arimo" w:cs="Arimo"/>
      <w:color w:val="000000"/>
      <w:sz w:val="18"/>
      <w:szCs w:val="18"/>
    </w:rPr>
  </w:style>
  <w:style w:type="paragraph" w:customStyle="1" w:styleId="avtor">
    <w:name w:val="avtor"/>
    <w:basedOn w:val="text"/>
    <w:next w:val="text"/>
    <w:uiPriority w:val="99"/>
    <w:rsid w:val="00E02991"/>
    <w:pPr>
      <w:suppressAutoHyphens/>
      <w:jc w:val="right"/>
    </w:pPr>
    <w:rPr>
      <w:b/>
      <w:bCs/>
    </w:rPr>
  </w:style>
  <w:style w:type="paragraph" w:customStyle="1" w:styleId="otkuda">
    <w:name w:val="otkuda"/>
    <w:basedOn w:val="text"/>
    <w:uiPriority w:val="99"/>
    <w:rsid w:val="00E02991"/>
    <w:pPr>
      <w:suppressAutoHyphens/>
      <w:spacing w:before="57"/>
      <w:ind w:firstLine="0"/>
      <w:jc w:val="right"/>
    </w:pPr>
    <w:rPr>
      <w:b/>
      <w:bCs/>
      <w:i/>
      <w:iCs/>
    </w:rPr>
  </w:style>
  <w:style w:type="paragraph" w:customStyle="1" w:styleId="nazva">
    <w:name w:val="nazva"/>
    <w:basedOn w:val="text"/>
    <w:uiPriority w:val="99"/>
    <w:rsid w:val="00E02991"/>
    <w:pPr>
      <w:suppressAutoHyphens/>
      <w:spacing w:before="113" w:line="288" w:lineRule="auto"/>
      <w:ind w:firstLine="0"/>
      <w:jc w:val="center"/>
    </w:pPr>
    <w:rPr>
      <w:b/>
      <w:bCs/>
      <w:caps/>
      <w:sz w:val="19"/>
      <w:szCs w:val="19"/>
    </w:rPr>
  </w:style>
  <w:style w:type="paragraph" w:customStyle="1" w:styleId="rezume">
    <w:name w:val="rezume"/>
    <w:basedOn w:val="text"/>
    <w:uiPriority w:val="99"/>
    <w:rsid w:val="00E02991"/>
    <w:pPr>
      <w:spacing w:line="288" w:lineRule="auto"/>
      <w:ind w:left="397" w:firstLine="0"/>
    </w:pPr>
    <w:rPr>
      <w:sz w:val="16"/>
      <w:szCs w:val="16"/>
    </w:rPr>
  </w:style>
  <w:style w:type="paragraph" w:customStyle="1" w:styleId="slova">
    <w:name w:val="slova"/>
    <w:basedOn w:val="rezume"/>
    <w:uiPriority w:val="99"/>
    <w:rsid w:val="00E02991"/>
    <w:pPr>
      <w:spacing w:before="113"/>
    </w:pPr>
  </w:style>
  <w:style w:type="character" w:customStyle="1" w:styleId="2">
    <w:name w:val="Îñíîâíîé òåêñò (2)"/>
    <w:basedOn w:val="a0"/>
    <w:uiPriority w:val="99"/>
    <w:rsid w:val="00E0299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thick" w:color="000000"/>
      <w:lang w:val="uk-UA"/>
    </w:rPr>
  </w:style>
  <w:style w:type="paragraph" w:customStyle="1" w:styleId="a3">
    <w:name w:val="електронна адреса"/>
    <w:basedOn w:val="a"/>
    <w:uiPriority w:val="99"/>
    <w:rsid w:val="00E02991"/>
    <w:pPr>
      <w:autoSpaceDE w:val="0"/>
      <w:autoSpaceDN w:val="0"/>
      <w:adjustRightInd w:val="0"/>
      <w:spacing w:after="0" w:line="288" w:lineRule="auto"/>
      <w:textAlignment w:val="center"/>
    </w:pPr>
    <w:rPr>
      <w:rFonts w:ascii="Arimo" w:hAnsi="Arimo" w:cs="Arimo"/>
      <w:color w:val="000000"/>
      <w:sz w:val="16"/>
      <w:szCs w:val="16"/>
    </w:rPr>
  </w:style>
  <w:style w:type="character" w:customStyle="1" w:styleId="12">
    <w:name w:val="Îñíîâíîé òåêñò (12)"/>
    <w:uiPriority w:val="99"/>
    <w:rsid w:val="00E02991"/>
    <w:rPr>
      <w:rFonts w:ascii="Arial" w:hAnsi="Arial" w:cs="Arial"/>
      <w:color w:val="000000"/>
      <w:spacing w:val="0"/>
      <w:w w:val="100"/>
      <w:position w:val="0"/>
      <w:sz w:val="12"/>
      <w:szCs w:val="12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uiPriority w:val="99"/>
    <w:rsid w:val="00E02991"/>
    <w:pPr>
      <w:autoSpaceDE w:val="0"/>
      <w:autoSpaceDN w:val="0"/>
      <w:adjustRightInd w:val="0"/>
      <w:spacing w:after="0" w:line="212" w:lineRule="atLeast"/>
      <w:ind w:firstLine="283"/>
      <w:jc w:val="both"/>
      <w:textAlignment w:val="center"/>
    </w:pPr>
    <w:rPr>
      <w:rFonts w:ascii="Arimo" w:hAnsi="Arimo" w:cs="Arimo"/>
      <w:color w:val="000000"/>
      <w:sz w:val="18"/>
      <w:szCs w:val="18"/>
    </w:rPr>
  </w:style>
  <w:style w:type="paragraph" w:customStyle="1" w:styleId="avtor">
    <w:name w:val="avtor"/>
    <w:basedOn w:val="text"/>
    <w:next w:val="text"/>
    <w:uiPriority w:val="99"/>
    <w:rsid w:val="00E02991"/>
    <w:pPr>
      <w:suppressAutoHyphens/>
      <w:jc w:val="right"/>
    </w:pPr>
    <w:rPr>
      <w:b/>
      <w:bCs/>
    </w:rPr>
  </w:style>
  <w:style w:type="paragraph" w:customStyle="1" w:styleId="otkuda">
    <w:name w:val="otkuda"/>
    <w:basedOn w:val="text"/>
    <w:uiPriority w:val="99"/>
    <w:rsid w:val="00E02991"/>
    <w:pPr>
      <w:suppressAutoHyphens/>
      <w:spacing w:before="57"/>
      <w:ind w:firstLine="0"/>
      <w:jc w:val="right"/>
    </w:pPr>
    <w:rPr>
      <w:b/>
      <w:bCs/>
      <w:i/>
      <w:iCs/>
    </w:rPr>
  </w:style>
  <w:style w:type="paragraph" w:customStyle="1" w:styleId="nazva">
    <w:name w:val="nazva"/>
    <w:basedOn w:val="text"/>
    <w:uiPriority w:val="99"/>
    <w:rsid w:val="00E02991"/>
    <w:pPr>
      <w:suppressAutoHyphens/>
      <w:spacing w:before="113" w:line="288" w:lineRule="auto"/>
      <w:ind w:firstLine="0"/>
      <w:jc w:val="center"/>
    </w:pPr>
    <w:rPr>
      <w:b/>
      <w:bCs/>
      <w:caps/>
      <w:sz w:val="19"/>
      <w:szCs w:val="19"/>
    </w:rPr>
  </w:style>
  <w:style w:type="paragraph" w:customStyle="1" w:styleId="rezume">
    <w:name w:val="rezume"/>
    <w:basedOn w:val="text"/>
    <w:uiPriority w:val="99"/>
    <w:rsid w:val="00E02991"/>
    <w:pPr>
      <w:spacing w:line="288" w:lineRule="auto"/>
      <w:ind w:left="397" w:firstLine="0"/>
    </w:pPr>
    <w:rPr>
      <w:sz w:val="16"/>
      <w:szCs w:val="16"/>
    </w:rPr>
  </w:style>
  <w:style w:type="paragraph" w:customStyle="1" w:styleId="slova">
    <w:name w:val="slova"/>
    <w:basedOn w:val="rezume"/>
    <w:uiPriority w:val="99"/>
    <w:rsid w:val="00E02991"/>
    <w:pPr>
      <w:spacing w:before="113"/>
    </w:pPr>
  </w:style>
  <w:style w:type="character" w:customStyle="1" w:styleId="2">
    <w:name w:val="Îñíîâíîé òåêñò (2)"/>
    <w:basedOn w:val="a0"/>
    <w:uiPriority w:val="99"/>
    <w:rsid w:val="00E0299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thick" w:color="000000"/>
      <w:lang w:val="uk-UA"/>
    </w:rPr>
  </w:style>
  <w:style w:type="paragraph" w:customStyle="1" w:styleId="a3">
    <w:name w:val="електронна адреса"/>
    <w:basedOn w:val="a"/>
    <w:uiPriority w:val="99"/>
    <w:rsid w:val="00E02991"/>
    <w:pPr>
      <w:autoSpaceDE w:val="0"/>
      <w:autoSpaceDN w:val="0"/>
      <w:adjustRightInd w:val="0"/>
      <w:spacing w:after="0" w:line="288" w:lineRule="auto"/>
      <w:textAlignment w:val="center"/>
    </w:pPr>
    <w:rPr>
      <w:rFonts w:ascii="Arimo" w:hAnsi="Arimo" w:cs="Arimo"/>
      <w:color w:val="000000"/>
      <w:sz w:val="16"/>
      <w:szCs w:val="16"/>
    </w:rPr>
  </w:style>
  <w:style w:type="character" w:customStyle="1" w:styleId="12">
    <w:name w:val="Îñíîâíîé òåêñò (12)"/>
    <w:uiPriority w:val="99"/>
    <w:rsid w:val="00E02991"/>
    <w:rPr>
      <w:rFonts w:ascii="Arial" w:hAnsi="Arial" w:cs="Arial"/>
      <w:color w:val="000000"/>
      <w:spacing w:val="0"/>
      <w:w w:val="100"/>
      <w:position w:val="0"/>
      <w:sz w:val="12"/>
      <w:szCs w:val="1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6993</Words>
  <Characters>3987</Characters>
  <Application>Microsoft Office Word</Application>
  <DocSecurity>0</DocSecurity>
  <Lines>33</Lines>
  <Paragraphs>21</Paragraphs>
  <ScaleCrop>false</ScaleCrop>
  <Company/>
  <LinksUpToDate>false</LinksUpToDate>
  <CharactersWithSpaces>10959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Zoriana</dc:creator>
  <cp:lastModifiedBy>Zoriana</cp:lastModifiedBy>
  <cp:revision>2</cp:revision>
  <dcterms:created xsi:type="dcterms:W3CDTF">2018-10-31T07:58:00Z</dcterms:created>
  <dcterms:modified xsi:type="dcterms:W3CDTF">2018-10-31T08:02:00Z</dcterms:modified>
</cp:coreProperties>
</file>