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80" w:rsidRPr="00365778" w:rsidRDefault="00BF5A80" w:rsidP="00BF5A80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УДК</w:t>
      </w:r>
      <w:r>
        <w:rPr>
          <w:rFonts w:ascii="Arial" w:hAnsi="Arial" w:cs="Arial"/>
          <w:color w:val="000000"/>
          <w:shd w:val="clear" w:color="auto" w:fill="FFFFFF"/>
        </w:rPr>
        <w:t xml:space="preserve">: </w:t>
      </w:r>
      <w:r w:rsidRPr="00365778">
        <w:rPr>
          <w:rFonts w:cs="Times New Roman"/>
          <w:color w:val="000000"/>
          <w:shd w:val="clear" w:color="auto" w:fill="FFFFFF"/>
        </w:rPr>
        <w:t>616.12-008.331.1:616.12-005.4]-036.1-085.225.3</w:t>
      </w:r>
    </w:p>
    <w:p w:rsidR="00BF5A80" w:rsidRDefault="00BF5A80" w:rsidP="00BF5A80">
      <w:pPr>
        <w:shd w:val="clear" w:color="auto" w:fill="FFFFFF"/>
        <w:spacing w:after="0" w:line="322" w:lineRule="atLeast"/>
        <w:jc w:val="center"/>
        <w:rPr>
          <w:rFonts w:eastAsia="Times New Roman" w:cs="Times New Roman"/>
          <w:b/>
          <w:color w:val="222222"/>
          <w:szCs w:val="28"/>
          <w:lang w:eastAsia="ru-RU"/>
        </w:rPr>
      </w:pPr>
    </w:p>
    <w:p w:rsidR="00BF5A80" w:rsidRPr="00FB2966" w:rsidRDefault="00BF5A80" w:rsidP="00BF5A80">
      <w:pPr>
        <w:shd w:val="clear" w:color="auto" w:fill="FFFFFF"/>
        <w:spacing w:after="0"/>
        <w:jc w:val="center"/>
        <w:rPr>
          <w:rFonts w:eastAsia="Times New Roman" w:cs="Times New Roman"/>
          <w:b/>
          <w:color w:val="222222"/>
          <w:szCs w:val="28"/>
          <w:lang w:eastAsia="ru-RU"/>
        </w:rPr>
      </w:pPr>
      <w:r w:rsidRPr="00FB2966">
        <w:rPr>
          <w:rFonts w:eastAsia="Times New Roman" w:cs="Times New Roman"/>
          <w:b/>
          <w:color w:val="222222"/>
          <w:szCs w:val="28"/>
          <w:lang w:eastAsia="ru-RU"/>
        </w:rPr>
        <w:t>МЕТАБОЛІТОТРОПНА ТЕРАПІЯ В ЛІКУВАННІ</w:t>
      </w:r>
      <w:r w:rsidRPr="00FB2966">
        <w:rPr>
          <w:rFonts w:eastAsia="Times New Roman" w:cs="Times New Roman"/>
          <w:b/>
          <w:color w:val="222222"/>
          <w:szCs w:val="28"/>
          <w:lang w:val="ru-RU" w:eastAsia="ru-RU"/>
        </w:rPr>
        <w:t>  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>ХВОРИХ НА</w:t>
      </w:r>
      <w:r w:rsidRPr="00FB2966">
        <w:rPr>
          <w:rFonts w:eastAsia="Times New Roman" w:cs="Times New Roman"/>
          <w:b/>
          <w:color w:val="222222"/>
          <w:szCs w:val="28"/>
          <w:lang w:val="ru-RU" w:eastAsia="ru-RU"/>
        </w:rPr>
        <w:t>  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>ГІПЕРТОНІЧНУ ХВОРОБУ ІІ СТАДІ</w:t>
      </w:r>
      <w:r>
        <w:rPr>
          <w:rFonts w:eastAsia="Times New Roman" w:cs="Times New Roman"/>
          <w:b/>
          <w:color w:val="222222"/>
          <w:szCs w:val="28"/>
          <w:lang w:eastAsia="ru-RU"/>
        </w:rPr>
        <w:t>Ї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 xml:space="preserve"> В</w:t>
      </w:r>
      <w:r w:rsidRPr="00FB2966">
        <w:rPr>
          <w:rFonts w:eastAsia="Times New Roman" w:cs="Times New Roman"/>
          <w:b/>
          <w:color w:val="222222"/>
          <w:szCs w:val="28"/>
          <w:lang w:val="ru-RU" w:eastAsia="ru-RU"/>
        </w:rPr>
        <w:t>  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 xml:space="preserve">ПОЄДНАННІ </w:t>
      </w:r>
      <w:r>
        <w:rPr>
          <w:rFonts w:eastAsia="Times New Roman" w:cs="Times New Roman"/>
          <w:b/>
          <w:color w:val="222222"/>
          <w:szCs w:val="28"/>
          <w:lang w:eastAsia="ru-RU"/>
        </w:rPr>
        <w:t>І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>З СТАБІЛЬНОЮ ІШЕМІЧНОЮ ХВОРОБОЮ СЕРЦЯ</w:t>
      </w:r>
    </w:p>
    <w:p w:rsidR="00BF5A80" w:rsidRPr="00FB2966" w:rsidRDefault="00BF5A80" w:rsidP="00BF5A80">
      <w:pPr>
        <w:shd w:val="clear" w:color="auto" w:fill="FFFFFF"/>
        <w:spacing w:after="0"/>
        <w:jc w:val="center"/>
        <w:rPr>
          <w:rFonts w:eastAsia="Times New Roman" w:cs="Times New Roman"/>
          <w:color w:val="222222"/>
          <w:szCs w:val="28"/>
          <w:lang w:eastAsia="ru-RU"/>
        </w:rPr>
      </w:pPr>
      <w:r w:rsidRPr="00FB2966">
        <w:rPr>
          <w:rFonts w:eastAsia="Times New Roman" w:cs="Times New Roman"/>
          <w:color w:val="222222"/>
          <w:szCs w:val="28"/>
          <w:lang w:val="ru-RU" w:eastAsia="ru-RU"/>
        </w:rPr>
        <w:t> </w:t>
      </w:r>
    </w:p>
    <w:p w:rsidR="00BF5A80" w:rsidRPr="00FB2966" w:rsidRDefault="00BF5A80" w:rsidP="00BF5A80">
      <w:pPr>
        <w:shd w:val="clear" w:color="auto" w:fill="FFFFFF"/>
        <w:spacing w:after="0"/>
        <w:jc w:val="center"/>
        <w:rPr>
          <w:rFonts w:eastAsia="Times New Roman" w:cs="Times New Roman"/>
          <w:b/>
          <w:color w:val="222222"/>
          <w:szCs w:val="28"/>
          <w:lang w:eastAsia="ru-RU"/>
        </w:rPr>
      </w:pPr>
      <w:r w:rsidRPr="00FB2966">
        <w:rPr>
          <w:rFonts w:eastAsia="Times New Roman" w:cs="Times New Roman"/>
          <w:b/>
          <w:color w:val="222222"/>
          <w:szCs w:val="28"/>
          <w:lang w:eastAsia="ru-RU"/>
        </w:rPr>
        <w:t xml:space="preserve">В.В. Бойко, С.В. Білецький </w:t>
      </w:r>
    </w:p>
    <w:p w:rsidR="00BF5A80" w:rsidRPr="00FB2966" w:rsidRDefault="00BF5A80" w:rsidP="00BF5A80">
      <w:pPr>
        <w:spacing w:after="0"/>
        <w:rPr>
          <w:rFonts w:eastAsia="Times New Roman" w:cs="Times New Roman"/>
          <w:b/>
          <w:sz w:val="24"/>
          <w:szCs w:val="24"/>
          <w:lang w:eastAsia="uk-UA"/>
        </w:rPr>
      </w:pPr>
    </w:p>
    <w:p w:rsidR="00BF5A80" w:rsidRPr="00A55C23" w:rsidRDefault="00BF5A80" w:rsidP="00BF5A80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A55C23">
        <w:rPr>
          <w:rFonts w:eastAsia="Times New Roman" w:cs="Times New Roman"/>
          <w:i/>
          <w:szCs w:val="24"/>
          <w:lang w:eastAsia="ru-RU"/>
        </w:rPr>
        <w:t xml:space="preserve">ВДНЗ </w:t>
      </w:r>
      <w:proofErr w:type="spellStart"/>
      <w:r w:rsidRPr="00A55C23">
        <w:rPr>
          <w:rFonts w:eastAsia="Times New Roman" w:cs="Times New Roman"/>
          <w:i/>
          <w:szCs w:val="24"/>
          <w:lang w:val="ru-RU" w:eastAsia="ru-RU"/>
        </w:rPr>
        <w:t>Укра</w:t>
      </w:r>
      <w:r w:rsidRPr="00A55C23">
        <w:rPr>
          <w:rFonts w:eastAsia="Times New Roman" w:cs="Times New Roman"/>
          <w:i/>
          <w:szCs w:val="24"/>
          <w:lang w:eastAsia="ru-RU"/>
        </w:rPr>
        <w:t>їни</w:t>
      </w:r>
      <w:proofErr w:type="spellEnd"/>
      <w:r w:rsidRPr="00A55C23">
        <w:rPr>
          <w:rFonts w:eastAsia="Times New Roman" w:cs="Times New Roman"/>
          <w:i/>
          <w:szCs w:val="24"/>
          <w:lang w:eastAsia="ru-RU"/>
        </w:rPr>
        <w:t xml:space="preserve"> «Буковинський державний медичний університет», </w:t>
      </w:r>
    </w:p>
    <w:p w:rsidR="00BF5A80" w:rsidRDefault="00BF5A80" w:rsidP="00BF5A80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ru-RU"/>
        </w:rPr>
      </w:pPr>
      <w:r w:rsidRPr="00A55C23">
        <w:rPr>
          <w:rFonts w:eastAsia="Times New Roman" w:cs="Times New Roman"/>
          <w:i/>
          <w:szCs w:val="24"/>
          <w:lang w:eastAsia="ru-RU"/>
        </w:rPr>
        <w:t>м. Чернівці</w:t>
      </w:r>
    </w:p>
    <w:p w:rsidR="00BF5A80" w:rsidRPr="00A55C23" w:rsidRDefault="00BF5A80" w:rsidP="00BF5A80">
      <w:pPr>
        <w:spacing w:after="0" w:line="240" w:lineRule="auto"/>
        <w:jc w:val="center"/>
        <w:rPr>
          <w:rFonts w:eastAsia="Times New Roman" w:cs="Times New Roman"/>
          <w:i/>
          <w:lang w:eastAsia="ru-RU"/>
        </w:rPr>
      </w:pPr>
    </w:p>
    <w:p w:rsidR="00BF5A80" w:rsidRDefault="00BF5A80" w:rsidP="00BF5A80">
      <w:pPr>
        <w:tabs>
          <w:tab w:val="left" w:pos="567"/>
        </w:tabs>
        <w:spacing w:after="0" w:line="360" w:lineRule="auto"/>
        <w:ind w:firstLine="567"/>
        <w:jc w:val="both"/>
        <w:rPr>
          <w:color w:val="000000" w:themeColor="text1"/>
          <w:szCs w:val="28"/>
        </w:rPr>
      </w:pPr>
      <w:r w:rsidRPr="00DF5159">
        <w:rPr>
          <w:rFonts w:eastAsia="Times New Roman" w:cs="Times New Roman"/>
          <w:b/>
          <w:szCs w:val="28"/>
          <w:lang w:eastAsia="ru-RU"/>
        </w:rPr>
        <w:t xml:space="preserve">Резюме. </w:t>
      </w:r>
      <w:r w:rsidRPr="005C794E">
        <w:rPr>
          <w:color w:val="000000" w:themeColor="text1"/>
          <w:szCs w:val="28"/>
        </w:rPr>
        <w:t xml:space="preserve">При лікуванні  </w:t>
      </w:r>
      <w:r>
        <w:rPr>
          <w:color w:val="000000" w:themeColor="text1"/>
          <w:szCs w:val="28"/>
        </w:rPr>
        <w:t>гіпертонічної хвороби (ГХ), стабільної ішемічної хвороби серця (СІХС) н</w:t>
      </w:r>
      <w:r w:rsidRPr="005C794E">
        <w:rPr>
          <w:color w:val="000000" w:themeColor="text1"/>
          <w:szCs w:val="28"/>
        </w:rPr>
        <w:t>адзвичайно важливим є корекці</w:t>
      </w:r>
      <w:r>
        <w:rPr>
          <w:color w:val="000000" w:themeColor="text1"/>
          <w:szCs w:val="28"/>
        </w:rPr>
        <w:t>я</w:t>
      </w:r>
      <w:r w:rsidRPr="005C794E">
        <w:rPr>
          <w:color w:val="000000" w:themeColor="text1"/>
          <w:szCs w:val="28"/>
        </w:rPr>
        <w:t xml:space="preserve"> метаболічних факторів </w:t>
      </w:r>
      <w:proofErr w:type="spellStart"/>
      <w:r w:rsidRPr="005C794E">
        <w:rPr>
          <w:color w:val="000000" w:themeColor="text1"/>
          <w:szCs w:val="28"/>
        </w:rPr>
        <w:t>кардіоваскулярного</w:t>
      </w:r>
      <w:proofErr w:type="spellEnd"/>
      <w:r w:rsidRPr="005C794E">
        <w:rPr>
          <w:color w:val="000000" w:themeColor="text1"/>
          <w:szCs w:val="28"/>
        </w:rPr>
        <w:t xml:space="preserve"> ризику</w:t>
      </w:r>
      <w:r>
        <w:rPr>
          <w:color w:val="000000" w:themeColor="text1"/>
          <w:szCs w:val="28"/>
        </w:rPr>
        <w:t xml:space="preserve"> із використанням антиоксидантів та </w:t>
      </w:r>
      <w:proofErr w:type="spellStart"/>
      <w:r>
        <w:rPr>
          <w:color w:val="000000" w:themeColor="text1"/>
          <w:szCs w:val="28"/>
        </w:rPr>
        <w:t>донаторів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монооксиду</w:t>
      </w:r>
      <w:proofErr w:type="spellEnd"/>
      <w:r>
        <w:rPr>
          <w:color w:val="000000" w:themeColor="text1"/>
          <w:szCs w:val="28"/>
        </w:rPr>
        <w:t xml:space="preserve"> нітрогену (</w:t>
      </w:r>
      <w:r w:rsidRPr="00150620">
        <w:rPr>
          <w:color w:val="000000" w:themeColor="text1"/>
          <w:szCs w:val="28"/>
          <w:lang w:val="en-US"/>
        </w:rPr>
        <w:t>NO</w:t>
      </w:r>
      <w:r>
        <w:rPr>
          <w:color w:val="000000" w:themeColor="text1"/>
          <w:szCs w:val="28"/>
        </w:rPr>
        <w:t>).</w:t>
      </w:r>
    </w:p>
    <w:p w:rsidR="00BF5A80" w:rsidRPr="0022425B" w:rsidRDefault="00BF5A80" w:rsidP="00BF5A80">
      <w:pPr>
        <w:spacing w:after="0" w:line="360" w:lineRule="auto"/>
        <w:ind w:firstLine="567"/>
        <w:jc w:val="both"/>
        <w:rPr>
          <w:szCs w:val="28"/>
        </w:rPr>
      </w:pPr>
      <w:r w:rsidRPr="005010CE">
        <w:rPr>
          <w:b/>
          <w:color w:val="000000" w:themeColor="text1"/>
          <w:szCs w:val="28"/>
        </w:rPr>
        <w:t xml:space="preserve">Метою </w:t>
      </w:r>
      <w:r w:rsidRPr="0022425B">
        <w:rPr>
          <w:szCs w:val="28"/>
        </w:rPr>
        <w:t>роботи було дослідити ефективність лікування хворих на ГХ ІІ стадії (ст.) в поєднанні із СІХС шляхом впливу на показники ліпідного</w:t>
      </w:r>
      <w:r w:rsidRPr="00232BCE">
        <w:rPr>
          <w:szCs w:val="28"/>
        </w:rPr>
        <w:t xml:space="preserve"> та</w:t>
      </w:r>
      <w:r>
        <w:rPr>
          <w:szCs w:val="28"/>
        </w:rPr>
        <w:t xml:space="preserve"> </w:t>
      </w:r>
      <w:r w:rsidRPr="00232BCE">
        <w:rPr>
          <w:szCs w:val="28"/>
        </w:rPr>
        <w:t xml:space="preserve">вуглеводного </w:t>
      </w:r>
      <w:r w:rsidRPr="0022425B">
        <w:rPr>
          <w:szCs w:val="28"/>
        </w:rPr>
        <w:t xml:space="preserve">обміну, інтенсивність </w:t>
      </w:r>
      <w:proofErr w:type="spellStart"/>
      <w:r w:rsidRPr="0022425B">
        <w:rPr>
          <w:szCs w:val="28"/>
        </w:rPr>
        <w:t>пероксидного</w:t>
      </w:r>
      <w:proofErr w:type="spellEnd"/>
      <w:r w:rsidRPr="0022425B">
        <w:rPr>
          <w:szCs w:val="28"/>
        </w:rPr>
        <w:t xml:space="preserve"> окиснення ліпідів (ПОЛ) і функцію ендотелію </w:t>
      </w:r>
      <w:proofErr w:type="spellStart"/>
      <w:r w:rsidRPr="0022425B">
        <w:rPr>
          <w:szCs w:val="28"/>
        </w:rPr>
        <w:t>Кверцетином</w:t>
      </w:r>
      <w:proofErr w:type="spellEnd"/>
      <w:r w:rsidRPr="0022425B">
        <w:rPr>
          <w:szCs w:val="28"/>
        </w:rPr>
        <w:t xml:space="preserve"> (</w:t>
      </w:r>
      <w:proofErr w:type="spellStart"/>
      <w:r w:rsidRPr="0022425B">
        <w:rPr>
          <w:szCs w:val="28"/>
        </w:rPr>
        <w:t>Корвітином</w:t>
      </w:r>
      <w:proofErr w:type="spellEnd"/>
      <w:r w:rsidRPr="0022425B">
        <w:rPr>
          <w:szCs w:val="28"/>
        </w:rPr>
        <w:t xml:space="preserve">) і Аргініном </w:t>
      </w:r>
      <w:proofErr w:type="spellStart"/>
      <w:r w:rsidRPr="0022425B">
        <w:rPr>
          <w:szCs w:val="28"/>
        </w:rPr>
        <w:t>гідрохлорид</w:t>
      </w:r>
      <w:proofErr w:type="spellEnd"/>
      <w:r w:rsidRPr="0022425B">
        <w:rPr>
          <w:szCs w:val="28"/>
        </w:rPr>
        <w:t xml:space="preserve"> (</w:t>
      </w:r>
      <w:proofErr w:type="spellStart"/>
      <w:r w:rsidRPr="0022425B">
        <w:rPr>
          <w:szCs w:val="28"/>
        </w:rPr>
        <w:t>Тівортіном</w:t>
      </w:r>
      <w:proofErr w:type="spellEnd"/>
      <w:r w:rsidRPr="0022425B">
        <w:rPr>
          <w:szCs w:val="28"/>
        </w:rPr>
        <w:t xml:space="preserve">). </w:t>
      </w:r>
    </w:p>
    <w:p w:rsidR="00BF5A80" w:rsidRPr="0022425B" w:rsidRDefault="00BF5A80" w:rsidP="00BF5A8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szCs w:val="28"/>
        </w:rPr>
      </w:pPr>
      <w:r w:rsidRPr="0022425B">
        <w:rPr>
          <w:rFonts w:eastAsia="Times New Roman" w:cs="Times New Roman"/>
          <w:b/>
          <w:szCs w:val="24"/>
          <w:lang w:eastAsia="ru-RU"/>
        </w:rPr>
        <w:t xml:space="preserve">Матеріал і методи. </w:t>
      </w:r>
      <w:r w:rsidRPr="0022425B">
        <w:rPr>
          <w:rFonts w:eastAsia="Times New Roman" w:cs="Times New Roman"/>
          <w:szCs w:val="24"/>
          <w:lang w:eastAsia="ru-RU"/>
        </w:rPr>
        <w:t>У дослідження включено 56</w:t>
      </w:r>
      <w:r w:rsidRPr="0022425B">
        <w:rPr>
          <w:szCs w:val="28"/>
        </w:rPr>
        <w:t xml:space="preserve"> хворих на ГХ ІІ ст. в поєднанні і</w:t>
      </w:r>
      <w:r w:rsidRPr="0022425B">
        <w:rPr>
          <w:rFonts w:eastAsia="Times New Roman" w:cs="Times New Roman"/>
          <w:szCs w:val="28"/>
          <w:lang w:eastAsia="ru-RU"/>
        </w:rPr>
        <w:t>з СІХС</w:t>
      </w:r>
      <w:r w:rsidRPr="0022425B">
        <w:rPr>
          <w:szCs w:val="28"/>
        </w:rPr>
        <w:t>, які</w:t>
      </w:r>
      <w:r w:rsidRPr="0022425B">
        <w:rPr>
          <w:rFonts w:cs="Times New Roman"/>
          <w:szCs w:val="28"/>
        </w:rPr>
        <w:t xml:space="preserve"> були </w:t>
      </w:r>
      <w:proofErr w:type="spellStart"/>
      <w:r w:rsidRPr="0022425B">
        <w:rPr>
          <w:rFonts w:cs="Times New Roman"/>
          <w:szCs w:val="28"/>
        </w:rPr>
        <w:t>рандомізован</w:t>
      </w:r>
      <w:r>
        <w:rPr>
          <w:rFonts w:cs="Times New Roman"/>
          <w:szCs w:val="28"/>
        </w:rPr>
        <w:t>і</w:t>
      </w:r>
      <w:proofErr w:type="spellEnd"/>
      <w:r w:rsidRPr="0022425B">
        <w:rPr>
          <w:rFonts w:cs="Times New Roman"/>
          <w:szCs w:val="28"/>
        </w:rPr>
        <w:t xml:space="preserve"> в дві групи. У І групу входили 24 пацієнти, яким проводилася  </w:t>
      </w:r>
      <w:r w:rsidRPr="0022425B">
        <w:t>загальноприйнята базисна терапія</w:t>
      </w:r>
      <w:r w:rsidRPr="0022425B">
        <w:rPr>
          <w:rFonts w:cs="Times New Roman"/>
          <w:szCs w:val="28"/>
        </w:rPr>
        <w:t xml:space="preserve"> (БТ). Пацієнтам ІІ групи (32 особи) перші 6 днів крім БТ проводилася </w:t>
      </w:r>
      <w:proofErr w:type="spellStart"/>
      <w:r w:rsidRPr="0022425B">
        <w:rPr>
          <w:rFonts w:cs="Times New Roman"/>
          <w:szCs w:val="28"/>
        </w:rPr>
        <w:t>інфузійна</w:t>
      </w:r>
      <w:proofErr w:type="spellEnd"/>
      <w:r w:rsidRPr="0022425B">
        <w:rPr>
          <w:rFonts w:cs="Times New Roman"/>
          <w:szCs w:val="28"/>
        </w:rPr>
        <w:t xml:space="preserve"> терапія </w:t>
      </w:r>
      <w:proofErr w:type="spellStart"/>
      <w:r w:rsidRPr="0022425B">
        <w:rPr>
          <w:rFonts w:cs="Times New Roman"/>
          <w:szCs w:val="28"/>
        </w:rPr>
        <w:t>Корвітином</w:t>
      </w:r>
      <w:proofErr w:type="spellEnd"/>
      <w:r w:rsidRPr="0022425B">
        <w:rPr>
          <w:rFonts w:cs="Times New Roman"/>
          <w:szCs w:val="28"/>
        </w:rPr>
        <w:t xml:space="preserve"> (0,5 г), а в наступні 6 днів - </w:t>
      </w:r>
      <w:proofErr w:type="spellStart"/>
      <w:r w:rsidRPr="0022425B">
        <w:rPr>
          <w:rFonts w:cs="Times New Roman"/>
          <w:szCs w:val="28"/>
        </w:rPr>
        <w:t>Тівортіном</w:t>
      </w:r>
      <w:proofErr w:type="spellEnd"/>
      <w:r w:rsidRPr="0022425B">
        <w:rPr>
          <w:rFonts w:cs="Times New Roman"/>
          <w:szCs w:val="28"/>
        </w:rPr>
        <w:t xml:space="preserve"> по 100 мл розчину внутрішньовенно з подальшим переходом на амбулаторний прийом пероральної форми </w:t>
      </w:r>
      <w:proofErr w:type="spellStart"/>
      <w:r w:rsidRPr="0022425B">
        <w:rPr>
          <w:rFonts w:cs="Times New Roman"/>
          <w:szCs w:val="28"/>
        </w:rPr>
        <w:t>Тівортіна</w:t>
      </w:r>
      <w:proofErr w:type="spellEnd"/>
      <w:r w:rsidRPr="0022425B">
        <w:rPr>
          <w:rFonts w:cs="Times New Roman"/>
          <w:szCs w:val="28"/>
        </w:rPr>
        <w:t xml:space="preserve"> по 10 мл 2 рази на добу протягом двох тижнів.</w:t>
      </w:r>
    </w:p>
    <w:p w:rsidR="00BF5A80" w:rsidRPr="00877C1D" w:rsidRDefault="00BF5A80" w:rsidP="00BF5A80">
      <w:pPr>
        <w:spacing w:after="0" w:line="360" w:lineRule="auto"/>
        <w:ind w:firstLine="567"/>
        <w:jc w:val="both"/>
        <w:rPr>
          <w:szCs w:val="28"/>
          <w:lang w:eastAsia="uk-UA"/>
        </w:rPr>
      </w:pPr>
      <w:r w:rsidRPr="00DA5AD9">
        <w:rPr>
          <w:b/>
          <w:szCs w:val="28"/>
        </w:rPr>
        <w:t>Результати.</w:t>
      </w:r>
      <w:r>
        <w:rPr>
          <w:szCs w:val="28"/>
        </w:rPr>
        <w:t xml:space="preserve"> </w:t>
      </w:r>
      <w:r w:rsidRPr="00877C1D">
        <w:rPr>
          <w:szCs w:val="28"/>
        </w:rPr>
        <w:t xml:space="preserve">Використання </w:t>
      </w:r>
      <w:proofErr w:type="spellStart"/>
      <w:r w:rsidRPr="00877C1D">
        <w:rPr>
          <w:szCs w:val="28"/>
        </w:rPr>
        <w:t>К</w:t>
      </w:r>
      <w:r w:rsidRPr="00877C1D">
        <w:rPr>
          <w:rStyle w:val="shorttext"/>
          <w:szCs w:val="28"/>
        </w:rPr>
        <w:t>орвітину</w:t>
      </w:r>
      <w:proofErr w:type="spellEnd"/>
      <w:r w:rsidRPr="00877C1D">
        <w:rPr>
          <w:rStyle w:val="shorttext"/>
          <w:szCs w:val="28"/>
        </w:rPr>
        <w:t xml:space="preserve"> і </w:t>
      </w:r>
      <w:proofErr w:type="spellStart"/>
      <w:r w:rsidRPr="00877C1D">
        <w:rPr>
          <w:rStyle w:val="shorttext"/>
          <w:szCs w:val="28"/>
        </w:rPr>
        <w:t>Тівортіну</w:t>
      </w:r>
      <w:proofErr w:type="spellEnd"/>
      <w:r w:rsidRPr="00877C1D">
        <w:rPr>
          <w:rStyle w:val="shorttext"/>
          <w:szCs w:val="28"/>
        </w:rPr>
        <w:t xml:space="preserve"> на тлі БТ у хворих на </w:t>
      </w:r>
      <w:r w:rsidRPr="003967D5">
        <w:rPr>
          <w:rStyle w:val="shorttext"/>
          <w:szCs w:val="28"/>
        </w:rPr>
        <w:t xml:space="preserve">          </w:t>
      </w:r>
      <w:r w:rsidRPr="00877C1D">
        <w:rPr>
          <w:rStyle w:val="shorttext"/>
          <w:szCs w:val="28"/>
        </w:rPr>
        <w:t xml:space="preserve">ГХ ІІ ст. в поєднані із СІХС </w:t>
      </w:r>
      <w:r w:rsidRPr="00877C1D">
        <w:rPr>
          <w:szCs w:val="28"/>
        </w:rPr>
        <w:t xml:space="preserve">призвело до достовірного </w:t>
      </w:r>
      <w:r>
        <w:rPr>
          <w:szCs w:val="28"/>
        </w:rPr>
        <w:t xml:space="preserve">покращання показників </w:t>
      </w:r>
      <w:proofErr w:type="spellStart"/>
      <w:r>
        <w:rPr>
          <w:szCs w:val="28"/>
        </w:rPr>
        <w:t>ліпідограми</w:t>
      </w:r>
      <w:proofErr w:type="spellEnd"/>
      <w:r>
        <w:rPr>
          <w:szCs w:val="28"/>
        </w:rPr>
        <w:t xml:space="preserve">, </w:t>
      </w:r>
      <w:r w:rsidRPr="00877C1D">
        <w:rPr>
          <w:szCs w:val="28"/>
        </w:rPr>
        <w:t xml:space="preserve">зменшення концентрації глюкози плазми, </w:t>
      </w:r>
      <w:proofErr w:type="spellStart"/>
      <w:r w:rsidRPr="00877C1D">
        <w:rPr>
          <w:szCs w:val="28"/>
        </w:rPr>
        <w:t>імунореактивного</w:t>
      </w:r>
      <w:proofErr w:type="spellEnd"/>
      <w:r w:rsidRPr="00877C1D">
        <w:rPr>
          <w:szCs w:val="28"/>
        </w:rPr>
        <w:t xml:space="preserve"> інсуліну (ІРІ), індексу НОМА-І</w:t>
      </w:r>
      <w:r w:rsidRPr="00877C1D">
        <w:rPr>
          <w:szCs w:val="28"/>
          <w:lang w:val="en-US"/>
        </w:rPr>
        <w:t>R</w:t>
      </w:r>
      <w:r w:rsidRPr="00877C1D">
        <w:rPr>
          <w:szCs w:val="28"/>
        </w:rPr>
        <w:t xml:space="preserve">, </w:t>
      </w:r>
      <w:proofErr w:type="spellStart"/>
      <w:r w:rsidRPr="00877C1D">
        <w:rPr>
          <w:szCs w:val="28"/>
        </w:rPr>
        <w:t>малонового</w:t>
      </w:r>
      <w:proofErr w:type="spellEnd"/>
      <w:r w:rsidRPr="00877C1D">
        <w:rPr>
          <w:szCs w:val="28"/>
        </w:rPr>
        <w:t xml:space="preserve"> альдегіду (МА) плазми та еритроцитів. З боку антиоксидантного захисту</w:t>
      </w:r>
      <w:r w:rsidRPr="00877C1D">
        <w:rPr>
          <w:rStyle w:val="st"/>
          <w:szCs w:val="28"/>
        </w:rPr>
        <w:t xml:space="preserve"> (АОЗ) </w:t>
      </w:r>
      <w:proofErr w:type="spellStart"/>
      <w:r w:rsidRPr="00877C1D">
        <w:rPr>
          <w:rStyle w:val="st"/>
          <w:szCs w:val="28"/>
        </w:rPr>
        <w:t>відмічено</w:t>
      </w:r>
      <w:proofErr w:type="spellEnd"/>
      <w:r w:rsidRPr="00877C1D">
        <w:rPr>
          <w:rStyle w:val="st"/>
          <w:szCs w:val="28"/>
        </w:rPr>
        <w:t xml:space="preserve"> достовірне зростання вмісту </w:t>
      </w:r>
      <w:proofErr w:type="spellStart"/>
      <w:r w:rsidRPr="00877C1D">
        <w:rPr>
          <w:rStyle w:val="st"/>
          <w:szCs w:val="28"/>
        </w:rPr>
        <w:t>глутатіону</w:t>
      </w:r>
      <w:proofErr w:type="spellEnd"/>
      <w:r w:rsidRPr="00877C1D">
        <w:rPr>
          <w:rStyle w:val="st"/>
          <w:szCs w:val="28"/>
        </w:rPr>
        <w:t xml:space="preserve"> відновленого (ГВ), підвищення активності </w:t>
      </w:r>
      <w:proofErr w:type="spellStart"/>
      <w:r w:rsidRPr="00877C1D">
        <w:rPr>
          <w:rStyle w:val="st"/>
          <w:szCs w:val="28"/>
        </w:rPr>
        <w:t>глутатіонпероксидази</w:t>
      </w:r>
      <w:proofErr w:type="spellEnd"/>
      <w:r w:rsidRPr="00877C1D">
        <w:rPr>
          <w:rStyle w:val="st"/>
          <w:szCs w:val="28"/>
        </w:rPr>
        <w:t xml:space="preserve"> (ГП), каталази (КТ). Виявлено достовірне зростання вмісту кінцевих метаболітів </w:t>
      </w:r>
      <w:r w:rsidRPr="00877C1D">
        <w:rPr>
          <w:rStyle w:val="st"/>
          <w:szCs w:val="28"/>
          <w:lang w:val="en-US"/>
        </w:rPr>
        <w:t>NO</w:t>
      </w:r>
      <w:r w:rsidRPr="00877C1D">
        <w:rPr>
          <w:rStyle w:val="st"/>
          <w:szCs w:val="28"/>
        </w:rPr>
        <w:t xml:space="preserve"> на 2</w:t>
      </w:r>
      <w:r>
        <w:rPr>
          <w:rStyle w:val="st"/>
          <w:szCs w:val="28"/>
          <w:lang w:val="ru-RU"/>
        </w:rPr>
        <w:t>2</w:t>
      </w:r>
      <w:r w:rsidRPr="00877C1D">
        <w:rPr>
          <w:rStyle w:val="st"/>
          <w:szCs w:val="28"/>
        </w:rPr>
        <w:t>,</w:t>
      </w:r>
      <w:r>
        <w:rPr>
          <w:rStyle w:val="st"/>
          <w:szCs w:val="28"/>
          <w:lang w:val="ru-RU"/>
        </w:rPr>
        <w:t>2</w:t>
      </w:r>
      <w:r w:rsidRPr="00877C1D">
        <w:rPr>
          <w:rStyle w:val="st"/>
          <w:szCs w:val="28"/>
        </w:rPr>
        <w:t xml:space="preserve">%, </w:t>
      </w:r>
      <w:proofErr w:type="spellStart"/>
      <w:r w:rsidRPr="00877C1D">
        <w:rPr>
          <w:rFonts w:eastAsia="ArialMT"/>
          <w:szCs w:val="28"/>
        </w:rPr>
        <w:lastRenderedPageBreak/>
        <w:t>ендотеліального</w:t>
      </w:r>
      <w:proofErr w:type="spellEnd"/>
      <w:r w:rsidRPr="00877C1D">
        <w:rPr>
          <w:rFonts w:eastAsia="ArialMT"/>
          <w:szCs w:val="28"/>
        </w:rPr>
        <w:t xml:space="preserve"> судинного фактору росту </w:t>
      </w:r>
      <w:r w:rsidRPr="00877C1D">
        <w:rPr>
          <w:iCs/>
          <w:szCs w:val="28"/>
          <w:lang w:val="en-US"/>
        </w:rPr>
        <w:t>VEGF</w:t>
      </w:r>
      <w:r w:rsidRPr="00877C1D">
        <w:rPr>
          <w:iCs/>
          <w:szCs w:val="28"/>
        </w:rPr>
        <w:t xml:space="preserve">-А - на </w:t>
      </w:r>
      <w:r>
        <w:rPr>
          <w:iCs/>
          <w:szCs w:val="28"/>
          <w:lang w:val="ru-RU"/>
        </w:rPr>
        <w:t>38,2</w:t>
      </w:r>
      <w:r w:rsidRPr="00877C1D">
        <w:rPr>
          <w:iCs/>
          <w:szCs w:val="28"/>
        </w:rPr>
        <w:t>%.</w:t>
      </w:r>
      <w:r w:rsidRPr="00877C1D">
        <w:rPr>
          <w:szCs w:val="28"/>
        </w:rPr>
        <w:t xml:space="preserve"> </w:t>
      </w:r>
      <w:proofErr w:type="spellStart"/>
      <w:r w:rsidRPr="00877C1D">
        <w:rPr>
          <w:szCs w:val="28"/>
        </w:rPr>
        <w:t>Бiльш</w:t>
      </w:r>
      <w:proofErr w:type="spellEnd"/>
      <w:r w:rsidRPr="00877C1D">
        <w:rPr>
          <w:szCs w:val="28"/>
        </w:rPr>
        <w:t xml:space="preserve"> суттєвою </w:t>
      </w:r>
      <w:proofErr w:type="spellStart"/>
      <w:r w:rsidRPr="00877C1D">
        <w:rPr>
          <w:szCs w:val="28"/>
        </w:rPr>
        <w:t>динамiка</w:t>
      </w:r>
      <w:proofErr w:type="spellEnd"/>
      <w:r w:rsidRPr="00877C1D">
        <w:rPr>
          <w:szCs w:val="28"/>
        </w:rPr>
        <w:t xml:space="preserve"> </w:t>
      </w:r>
      <w:proofErr w:type="spellStart"/>
      <w:r w:rsidRPr="00877C1D">
        <w:rPr>
          <w:szCs w:val="28"/>
        </w:rPr>
        <w:t>показникiв</w:t>
      </w:r>
      <w:proofErr w:type="spellEnd"/>
      <w:r w:rsidRPr="00877C1D">
        <w:rPr>
          <w:szCs w:val="28"/>
        </w:rPr>
        <w:t xml:space="preserve"> є у </w:t>
      </w:r>
      <w:proofErr w:type="spellStart"/>
      <w:r w:rsidRPr="00877C1D">
        <w:rPr>
          <w:szCs w:val="28"/>
        </w:rPr>
        <w:t>пацiєнтiв</w:t>
      </w:r>
      <w:proofErr w:type="spellEnd"/>
      <w:r w:rsidRPr="00877C1D">
        <w:rPr>
          <w:szCs w:val="28"/>
        </w:rPr>
        <w:t xml:space="preserve"> з генотипом </w:t>
      </w:r>
      <w:proofErr w:type="spellStart"/>
      <w:r w:rsidRPr="00877C1D">
        <w:rPr>
          <w:szCs w:val="28"/>
        </w:rPr>
        <w:t>Pro</w:t>
      </w:r>
      <w:proofErr w:type="spellEnd"/>
      <w:r w:rsidRPr="00877C1D">
        <w:rPr>
          <w:szCs w:val="28"/>
        </w:rPr>
        <w:t>/</w:t>
      </w:r>
      <w:proofErr w:type="spellStart"/>
      <w:r w:rsidRPr="00877C1D">
        <w:rPr>
          <w:szCs w:val="28"/>
        </w:rPr>
        <w:t>Ala</w:t>
      </w:r>
      <w:proofErr w:type="spellEnd"/>
      <w:r w:rsidRPr="00877C1D">
        <w:rPr>
          <w:szCs w:val="28"/>
        </w:rPr>
        <w:t xml:space="preserve"> гена PPARγ2.</w:t>
      </w:r>
      <w:r w:rsidRPr="00877C1D">
        <w:t xml:space="preserve"> </w:t>
      </w:r>
    </w:p>
    <w:p w:rsidR="00BF5A80" w:rsidRPr="00F73BBA" w:rsidRDefault="00BF5A80" w:rsidP="00BF5A80">
      <w:pPr>
        <w:tabs>
          <w:tab w:val="left" w:pos="567"/>
        </w:tabs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B2966">
        <w:rPr>
          <w:rFonts w:eastAsia="Times New Roman" w:cs="Times New Roman"/>
          <w:b/>
          <w:color w:val="000000" w:themeColor="text1"/>
          <w:szCs w:val="28"/>
          <w:lang w:eastAsia="ru-RU"/>
        </w:rPr>
        <w:t>Ключові слова</w:t>
      </w:r>
      <w:r w:rsidRPr="00F73BBA">
        <w:rPr>
          <w:rFonts w:eastAsia="Times New Roman" w:cs="Times New Roman"/>
          <w:b/>
          <w:szCs w:val="28"/>
          <w:lang w:eastAsia="ru-RU"/>
        </w:rPr>
        <w:t xml:space="preserve">: </w:t>
      </w:r>
      <w:r w:rsidRPr="00F73BBA">
        <w:rPr>
          <w:rFonts w:eastAsia="Times New Roman" w:cs="Times New Roman"/>
          <w:szCs w:val="28"/>
          <w:lang w:eastAsia="ru-RU"/>
        </w:rPr>
        <w:t xml:space="preserve">гіпертонічна хвороба, ішемічна хвороба серця,  показники метаболізму, </w:t>
      </w:r>
      <w:proofErr w:type="spellStart"/>
      <w:r w:rsidRPr="00F73BBA">
        <w:rPr>
          <w:rFonts w:eastAsia="Times New Roman" w:cs="Times New Roman"/>
          <w:szCs w:val="28"/>
          <w:lang w:eastAsia="ru-RU"/>
        </w:rPr>
        <w:t>Корвітин</w:t>
      </w:r>
      <w:proofErr w:type="spellEnd"/>
      <w:r w:rsidRPr="00F73BB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73BBA">
        <w:rPr>
          <w:rFonts w:eastAsia="Times New Roman" w:cs="Times New Roman"/>
          <w:szCs w:val="28"/>
          <w:lang w:eastAsia="ru-RU"/>
        </w:rPr>
        <w:t>Тівортін</w:t>
      </w:r>
      <w:proofErr w:type="spellEnd"/>
      <w:r w:rsidRPr="00F73BBA">
        <w:rPr>
          <w:rFonts w:eastAsia="Times New Roman" w:cs="Times New Roman"/>
          <w:szCs w:val="28"/>
          <w:lang w:eastAsia="ru-RU"/>
        </w:rPr>
        <w:t xml:space="preserve">. </w:t>
      </w:r>
    </w:p>
    <w:p w:rsidR="00BF5A80" w:rsidRDefault="00BF5A80" w:rsidP="00BF5A80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20517">
        <w:rPr>
          <w:rFonts w:eastAsia="Times New Roman" w:cs="Times New Roman"/>
          <w:b/>
          <w:color w:val="000000" w:themeColor="text1"/>
          <w:szCs w:val="28"/>
          <w:lang w:eastAsia="ru-RU"/>
        </w:rPr>
        <w:t>Вступ.</w:t>
      </w:r>
      <w:r w:rsidRPr="000205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20517">
        <w:rPr>
          <w:iCs/>
          <w:szCs w:val="28"/>
        </w:rPr>
        <w:t>Артеріальна гіпертензія</w:t>
      </w:r>
      <w:r w:rsidRPr="00020517">
        <w:rPr>
          <w:b/>
          <w:iCs/>
          <w:szCs w:val="28"/>
        </w:rPr>
        <w:t xml:space="preserve"> </w:t>
      </w:r>
      <w:r w:rsidRPr="00020517">
        <w:rPr>
          <w:szCs w:val="28"/>
        </w:rPr>
        <w:t>(АГ) є найбільш розповсюдженим серцево-судинним захворюванням у світі</w:t>
      </w:r>
      <w:r w:rsidRPr="00020517">
        <w:rPr>
          <w:spacing w:val="-4"/>
          <w:szCs w:val="28"/>
        </w:rPr>
        <w:t xml:space="preserve"> [</w:t>
      </w:r>
      <w:r w:rsidRPr="0023197F">
        <w:rPr>
          <w:spacing w:val="-4"/>
          <w:szCs w:val="28"/>
        </w:rPr>
        <w:t xml:space="preserve">1, </w:t>
      </w:r>
      <w:r w:rsidRPr="0023197F">
        <w:rPr>
          <w:szCs w:val="28"/>
        </w:rPr>
        <w:t>2</w:t>
      </w:r>
      <w:r w:rsidRPr="00020517">
        <w:rPr>
          <w:spacing w:val="-4"/>
          <w:szCs w:val="28"/>
        </w:rPr>
        <w:t>].</w:t>
      </w:r>
      <w:r w:rsidRPr="00020517">
        <w:rPr>
          <w:b/>
          <w:szCs w:val="28"/>
        </w:rPr>
        <w:t xml:space="preserve"> </w:t>
      </w:r>
      <w:r w:rsidRPr="00020517">
        <w:rPr>
          <w:szCs w:val="28"/>
        </w:rPr>
        <w:t xml:space="preserve">В Україні АГ займає перше місце в структурі поширеності </w:t>
      </w:r>
      <w:proofErr w:type="spellStart"/>
      <w:r w:rsidRPr="00020517">
        <w:rPr>
          <w:szCs w:val="28"/>
        </w:rPr>
        <w:t>хвороб</w:t>
      </w:r>
      <w:proofErr w:type="spellEnd"/>
      <w:r w:rsidRPr="00020517">
        <w:rPr>
          <w:szCs w:val="28"/>
        </w:rPr>
        <w:t xml:space="preserve"> системи кровообігу серед дорослого населення. </w:t>
      </w:r>
      <w:proofErr w:type="spellStart"/>
      <w:r w:rsidRPr="00DD01B2">
        <w:rPr>
          <w:rFonts w:eastAsia="Times New Roman" w:cs="Times New Roman"/>
          <w:szCs w:val="28"/>
          <w:lang w:val="ru-RU" w:eastAsia="ru-RU"/>
        </w:rPr>
        <w:t>Чисельність</w:t>
      </w:r>
      <w:proofErr w:type="spellEnd"/>
      <w:r w:rsidRPr="00DD01B2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DD01B2">
        <w:rPr>
          <w:rFonts w:eastAsia="Times New Roman" w:cs="Times New Roman"/>
          <w:szCs w:val="28"/>
          <w:lang w:val="ru-RU" w:eastAsia="ru-RU"/>
        </w:rPr>
        <w:t>хворих</w:t>
      </w:r>
      <w:proofErr w:type="spellEnd"/>
      <w:r w:rsidRPr="00DD01B2">
        <w:rPr>
          <w:rFonts w:eastAsia="Times New Roman" w:cs="Times New Roman"/>
          <w:szCs w:val="28"/>
          <w:lang w:val="ru-RU" w:eastAsia="ru-RU"/>
        </w:rPr>
        <w:t xml:space="preserve"> з </w:t>
      </w:r>
      <w:r>
        <w:rPr>
          <w:rFonts w:eastAsia="Times New Roman" w:cs="Times New Roman"/>
          <w:szCs w:val="28"/>
          <w:lang w:eastAsia="ru-RU"/>
        </w:rPr>
        <w:t xml:space="preserve">АГ </w:t>
      </w:r>
      <w:r w:rsidRPr="00DD01B2">
        <w:rPr>
          <w:rFonts w:eastAsia="Times New Roman" w:cs="Times New Roman"/>
          <w:szCs w:val="28"/>
          <w:lang w:val="ru-RU" w:eastAsia="ru-RU"/>
        </w:rPr>
        <w:t xml:space="preserve">в </w:t>
      </w:r>
      <w:proofErr w:type="spellStart"/>
      <w:r w:rsidRPr="00DD01B2">
        <w:rPr>
          <w:rFonts w:eastAsia="Times New Roman" w:cs="Times New Roman"/>
          <w:szCs w:val="28"/>
          <w:lang w:val="ru-RU" w:eastAsia="ru-RU"/>
        </w:rPr>
        <w:t>Україні</w:t>
      </w:r>
      <w:proofErr w:type="spellEnd"/>
      <w:r w:rsidRPr="00DD01B2">
        <w:rPr>
          <w:rFonts w:eastAsia="Times New Roman" w:cs="Times New Roman"/>
          <w:szCs w:val="28"/>
          <w:lang w:val="ru-RU" w:eastAsia="ru-RU"/>
        </w:rPr>
        <w:t xml:space="preserve"> у 2016 р. </w:t>
      </w:r>
      <w:proofErr w:type="spellStart"/>
      <w:r w:rsidRPr="00DD01B2">
        <w:rPr>
          <w:rFonts w:eastAsia="Times New Roman" w:cs="Times New Roman"/>
          <w:szCs w:val="28"/>
          <w:lang w:val="ru-RU" w:eastAsia="ru-RU"/>
        </w:rPr>
        <w:t>сягнула</w:t>
      </w:r>
      <w:proofErr w:type="spellEnd"/>
      <w:r w:rsidRPr="00DD01B2">
        <w:rPr>
          <w:rFonts w:eastAsia="Times New Roman" w:cs="Times New Roman"/>
          <w:szCs w:val="28"/>
          <w:lang w:val="ru-RU" w:eastAsia="ru-RU"/>
        </w:rPr>
        <w:t xml:space="preserve"> 10 млн 421 тис.</w:t>
      </w:r>
      <w:r w:rsidRPr="00DD01B2">
        <w:rPr>
          <w:rFonts w:eastAsia="Times New Roman" w:cs="Times New Roman"/>
          <w:szCs w:val="28"/>
          <w:lang w:eastAsia="ru-RU"/>
        </w:rPr>
        <w:t xml:space="preserve"> [</w:t>
      </w:r>
      <w:r w:rsidRPr="0023197F">
        <w:rPr>
          <w:rFonts w:eastAsia="Times New Roman" w:cs="Times New Roman"/>
          <w:szCs w:val="28"/>
          <w:lang w:eastAsia="ru-RU"/>
        </w:rPr>
        <w:t>3</w:t>
      </w:r>
      <w:r w:rsidRPr="00DD01B2">
        <w:rPr>
          <w:rFonts w:eastAsia="Times New Roman" w:cs="Times New Roman"/>
          <w:szCs w:val="28"/>
          <w:lang w:eastAsia="ru-RU"/>
        </w:rPr>
        <w:t>].</w:t>
      </w:r>
    </w:p>
    <w:p w:rsidR="00BF5A80" w:rsidRPr="0023197F" w:rsidRDefault="00BF5A80" w:rsidP="00BF5A80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20517">
        <w:rPr>
          <w:color w:val="000000" w:themeColor="text1"/>
          <w:szCs w:val="28"/>
        </w:rPr>
        <w:t>На цей час проводяться численні дослідження вивченню ролі різноманітних генів у розвитку АГ</w:t>
      </w:r>
      <w:r>
        <w:rPr>
          <w:color w:val="000000" w:themeColor="text1"/>
          <w:szCs w:val="28"/>
        </w:rPr>
        <w:t xml:space="preserve"> </w:t>
      </w:r>
      <w:r w:rsidRPr="00020517">
        <w:rPr>
          <w:color w:val="000000" w:themeColor="text1"/>
          <w:szCs w:val="28"/>
        </w:rPr>
        <w:t>[</w:t>
      </w:r>
      <w:r w:rsidRPr="0023197F">
        <w:rPr>
          <w:szCs w:val="28"/>
        </w:rPr>
        <w:t>4</w:t>
      </w:r>
      <w:r w:rsidRPr="00020517">
        <w:rPr>
          <w:color w:val="000000" w:themeColor="text1"/>
          <w:szCs w:val="28"/>
        </w:rPr>
        <w:t xml:space="preserve">]. Велику увагу науковці приділяють дослідженню поліморфізму </w:t>
      </w:r>
      <w:proofErr w:type="spellStart"/>
      <w:r w:rsidRPr="00020517">
        <w:rPr>
          <w:color w:val="000000" w:themeColor="text1"/>
          <w:szCs w:val="28"/>
        </w:rPr>
        <w:t>пероксисомальних</w:t>
      </w:r>
      <w:proofErr w:type="spellEnd"/>
      <w:r w:rsidRPr="00020517">
        <w:rPr>
          <w:color w:val="000000" w:themeColor="text1"/>
          <w:szCs w:val="28"/>
        </w:rPr>
        <w:t xml:space="preserve"> </w:t>
      </w:r>
      <w:proofErr w:type="spellStart"/>
      <w:r w:rsidRPr="00020517">
        <w:rPr>
          <w:color w:val="000000" w:themeColor="text1"/>
          <w:szCs w:val="28"/>
        </w:rPr>
        <w:t>проліфератор</w:t>
      </w:r>
      <w:proofErr w:type="spellEnd"/>
      <w:r w:rsidRPr="00020517">
        <w:rPr>
          <w:color w:val="000000" w:themeColor="text1"/>
          <w:szCs w:val="28"/>
        </w:rPr>
        <w:t xml:space="preserve">-активаційних рецепторів  (PPARα, PPARβ/ϭ, </w:t>
      </w:r>
      <w:proofErr w:type="spellStart"/>
      <w:r w:rsidRPr="00020517">
        <w:rPr>
          <w:color w:val="000000" w:themeColor="text1"/>
          <w:szCs w:val="28"/>
          <w:lang w:val="en-US"/>
        </w:rPr>
        <w:t>PPARγ</w:t>
      </w:r>
      <w:proofErr w:type="spellEnd"/>
      <w:r w:rsidRPr="00020517">
        <w:rPr>
          <w:color w:val="000000" w:themeColor="text1"/>
          <w:szCs w:val="28"/>
        </w:rPr>
        <w:t>)) – транскрипційних факторів з родини ядерних гормональних рецепторів [</w:t>
      </w:r>
      <w:r w:rsidRPr="0023197F">
        <w:rPr>
          <w:szCs w:val="28"/>
        </w:rPr>
        <w:t xml:space="preserve">5]. </w:t>
      </w:r>
    </w:p>
    <w:p w:rsidR="00BF5A80" w:rsidRPr="00020517" w:rsidRDefault="00BF5A80" w:rsidP="00BF5A80">
      <w:pPr>
        <w:spacing w:after="0" w:line="360" w:lineRule="auto"/>
        <w:ind w:firstLine="567"/>
        <w:jc w:val="both"/>
        <w:rPr>
          <w:szCs w:val="28"/>
        </w:rPr>
      </w:pPr>
      <w:r w:rsidRPr="00020517">
        <w:rPr>
          <w:color w:val="000000" w:themeColor="text1"/>
          <w:szCs w:val="28"/>
        </w:rPr>
        <w:t>При діагностиці та лікуванні АГ необхідно враховувати не тільки рівень артеріального тиску, а й наявність супутніх факторів ризику [</w:t>
      </w:r>
      <w:r w:rsidRPr="0023197F">
        <w:rPr>
          <w:szCs w:val="28"/>
        </w:rPr>
        <w:t>6</w:t>
      </w:r>
      <w:r w:rsidRPr="00020517">
        <w:rPr>
          <w:color w:val="000000" w:themeColor="text1"/>
          <w:szCs w:val="28"/>
        </w:rPr>
        <w:t xml:space="preserve">], під впливом яких сумарне значення ризику може значно збільшуватись. Надзвичайно важливим є вивчення впливів нових, переважно метаболічних та </w:t>
      </w:r>
      <w:proofErr w:type="spellStart"/>
      <w:r w:rsidRPr="00020517">
        <w:rPr>
          <w:color w:val="000000" w:themeColor="text1"/>
          <w:szCs w:val="28"/>
        </w:rPr>
        <w:t>прозапальних</w:t>
      </w:r>
      <w:proofErr w:type="spellEnd"/>
      <w:r w:rsidRPr="00020517">
        <w:rPr>
          <w:color w:val="000000" w:themeColor="text1"/>
          <w:szCs w:val="28"/>
        </w:rPr>
        <w:t xml:space="preserve">, факторів </w:t>
      </w:r>
      <w:proofErr w:type="spellStart"/>
      <w:r w:rsidRPr="00020517">
        <w:rPr>
          <w:color w:val="000000" w:themeColor="text1"/>
          <w:szCs w:val="28"/>
        </w:rPr>
        <w:t>кардіоваскулярного</w:t>
      </w:r>
      <w:proofErr w:type="spellEnd"/>
      <w:r w:rsidRPr="00020517">
        <w:rPr>
          <w:color w:val="000000" w:themeColor="text1"/>
          <w:szCs w:val="28"/>
        </w:rPr>
        <w:t xml:space="preserve"> ризику [</w:t>
      </w:r>
      <w:r w:rsidRPr="0023197F">
        <w:rPr>
          <w:szCs w:val="28"/>
        </w:rPr>
        <w:t>7</w:t>
      </w:r>
      <w:r w:rsidRPr="00020517">
        <w:rPr>
          <w:szCs w:val="28"/>
        </w:rPr>
        <w:t>],</w:t>
      </w:r>
      <w:r w:rsidRPr="00020517">
        <w:rPr>
          <w:color w:val="000000" w:themeColor="text1"/>
          <w:szCs w:val="28"/>
        </w:rPr>
        <w:t xml:space="preserve"> а також пошук метаболічних порушень, властивих АГ, та їх медикаментозної корекції [</w:t>
      </w:r>
      <w:r w:rsidRPr="0023197F">
        <w:rPr>
          <w:szCs w:val="28"/>
        </w:rPr>
        <w:t>8</w:t>
      </w:r>
      <w:r w:rsidRPr="002813BF">
        <w:rPr>
          <w:szCs w:val="28"/>
        </w:rPr>
        <w:t>].</w:t>
      </w:r>
    </w:p>
    <w:p w:rsidR="00BF5A80" w:rsidRPr="00150620" w:rsidRDefault="00BF5A80" w:rsidP="00BF5A80">
      <w:pPr>
        <w:spacing w:after="0" w:line="360" w:lineRule="auto"/>
        <w:ind w:firstLine="567"/>
        <w:jc w:val="both"/>
        <w:rPr>
          <w:color w:val="000000" w:themeColor="text1"/>
          <w:szCs w:val="28"/>
        </w:rPr>
      </w:pPr>
      <w:r w:rsidRPr="00FB2966">
        <w:rPr>
          <w:b/>
          <w:color w:val="000000" w:themeColor="text1"/>
          <w:szCs w:val="28"/>
        </w:rPr>
        <w:t>Мета дослідження.</w:t>
      </w:r>
      <w:r w:rsidRPr="00FB2966">
        <w:rPr>
          <w:color w:val="000000" w:themeColor="text1"/>
          <w:szCs w:val="28"/>
        </w:rPr>
        <w:t xml:space="preserve"> </w:t>
      </w:r>
      <w:r w:rsidRPr="00150620">
        <w:rPr>
          <w:color w:val="000000" w:themeColor="text1"/>
          <w:szCs w:val="28"/>
        </w:rPr>
        <w:t xml:space="preserve">Підвищити ефективність лікування хворих на ГХ ІІ ст. в поєднанні із СІХС шляхом впливу на показники ліпідного обміну, інтенсивність ПОЛ і функцію ендотелію інгібітором 5-ліпоксигенази </w:t>
      </w:r>
      <w:proofErr w:type="spellStart"/>
      <w:r w:rsidRPr="00150620">
        <w:rPr>
          <w:color w:val="000000" w:themeColor="text1"/>
          <w:szCs w:val="28"/>
        </w:rPr>
        <w:t>Кверцетином</w:t>
      </w:r>
      <w:proofErr w:type="spellEnd"/>
      <w:r w:rsidRPr="00150620">
        <w:rPr>
          <w:color w:val="000000" w:themeColor="text1"/>
          <w:szCs w:val="28"/>
        </w:rPr>
        <w:t xml:space="preserve"> (</w:t>
      </w:r>
      <w:proofErr w:type="spellStart"/>
      <w:r w:rsidRPr="00150620">
        <w:rPr>
          <w:color w:val="000000" w:themeColor="text1"/>
          <w:szCs w:val="28"/>
        </w:rPr>
        <w:t>Корвітином</w:t>
      </w:r>
      <w:proofErr w:type="spellEnd"/>
      <w:r w:rsidRPr="00150620">
        <w:rPr>
          <w:color w:val="000000" w:themeColor="text1"/>
          <w:szCs w:val="28"/>
        </w:rPr>
        <w:t xml:space="preserve">) і </w:t>
      </w:r>
      <w:proofErr w:type="spellStart"/>
      <w:r w:rsidRPr="00150620">
        <w:rPr>
          <w:color w:val="000000" w:themeColor="text1"/>
          <w:szCs w:val="28"/>
        </w:rPr>
        <w:t>донатором</w:t>
      </w:r>
      <w:proofErr w:type="spellEnd"/>
      <w:r w:rsidRPr="00150620">
        <w:rPr>
          <w:color w:val="000000" w:themeColor="text1"/>
          <w:szCs w:val="28"/>
        </w:rPr>
        <w:t xml:space="preserve"> </w:t>
      </w:r>
      <w:r w:rsidRPr="00150620">
        <w:rPr>
          <w:color w:val="000000" w:themeColor="text1"/>
          <w:szCs w:val="28"/>
          <w:lang w:val="en-US"/>
        </w:rPr>
        <w:t>NO</w:t>
      </w:r>
      <w:r w:rsidRPr="00150620">
        <w:rPr>
          <w:color w:val="000000" w:themeColor="text1"/>
          <w:szCs w:val="28"/>
        </w:rPr>
        <w:t xml:space="preserve"> - Аргініном </w:t>
      </w:r>
      <w:proofErr w:type="spellStart"/>
      <w:r w:rsidRPr="00150620">
        <w:rPr>
          <w:color w:val="000000" w:themeColor="text1"/>
          <w:szCs w:val="28"/>
        </w:rPr>
        <w:t>гідрохлорид</w:t>
      </w:r>
      <w:proofErr w:type="spellEnd"/>
      <w:r w:rsidRPr="00150620">
        <w:rPr>
          <w:color w:val="000000" w:themeColor="text1"/>
          <w:szCs w:val="28"/>
        </w:rPr>
        <w:t xml:space="preserve"> (</w:t>
      </w:r>
      <w:proofErr w:type="spellStart"/>
      <w:r w:rsidRPr="00150620">
        <w:rPr>
          <w:color w:val="000000" w:themeColor="text1"/>
          <w:szCs w:val="28"/>
        </w:rPr>
        <w:t>Тівортіном</w:t>
      </w:r>
      <w:proofErr w:type="spellEnd"/>
      <w:r w:rsidRPr="00150620">
        <w:rPr>
          <w:color w:val="000000" w:themeColor="text1"/>
          <w:szCs w:val="28"/>
        </w:rPr>
        <w:t xml:space="preserve">). </w:t>
      </w:r>
    </w:p>
    <w:p w:rsidR="00BF5A80" w:rsidRDefault="00BF5A80" w:rsidP="00BF5A80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F5159">
        <w:rPr>
          <w:rFonts w:eastAsia="Times New Roman" w:cs="Times New Roman"/>
          <w:b/>
          <w:szCs w:val="24"/>
          <w:lang w:eastAsia="ru-RU"/>
        </w:rPr>
        <w:t xml:space="preserve">Матеріал і методи. </w:t>
      </w:r>
      <w:r w:rsidRPr="00DF5159">
        <w:rPr>
          <w:rFonts w:eastAsia="Times New Roman" w:cs="Times New Roman"/>
          <w:szCs w:val="24"/>
          <w:lang w:eastAsia="ru-RU"/>
        </w:rPr>
        <w:t>О</w:t>
      </w:r>
      <w:r w:rsidRPr="00DF5159">
        <w:rPr>
          <w:rFonts w:eastAsia="Times New Roman" w:cs="Times New Roman"/>
          <w:szCs w:val="28"/>
          <w:lang w:eastAsia="ru-RU"/>
        </w:rPr>
        <w:t xml:space="preserve">бстежено </w:t>
      </w:r>
      <w:r>
        <w:rPr>
          <w:rFonts w:eastAsia="Times New Roman" w:cs="Times New Roman"/>
          <w:szCs w:val="28"/>
          <w:lang w:eastAsia="ru-RU"/>
        </w:rPr>
        <w:t>56</w:t>
      </w:r>
      <w:r w:rsidRPr="00701597">
        <w:rPr>
          <w:szCs w:val="28"/>
        </w:rPr>
        <w:t xml:space="preserve"> хворих на ГХ ІІ</w:t>
      </w:r>
      <w:r>
        <w:rPr>
          <w:szCs w:val="28"/>
        </w:rPr>
        <w:t xml:space="preserve"> </w:t>
      </w:r>
      <w:r w:rsidRPr="00DF5159">
        <w:rPr>
          <w:rFonts w:eastAsia="Times New Roman" w:cs="Times New Roman"/>
          <w:szCs w:val="28"/>
          <w:lang w:eastAsia="ru-RU"/>
        </w:rPr>
        <w:t>ст.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F5159">
        <w:rPr>
          <w:rFonts w:eastAsia="Times New Roman" w:cs="Times New Roman"/>
          <w:szCs w:val="28"/>
          <w:lang w:eastAsia="ru-RU"/>
        </w:rPr>
        <w:t>1-3-го ступен</w:t>
      </w:r>
      <w:r>
        <w:rPr>
          <w:rFonts w:eastAsia="Times New Roman" w:cs="Times New Roman"/>
          <w:szCs w:val="28"/>
          <w:lang w:eastAsia="ru-RU"/>
        </w:rPr>
        <w:t>ів</w:t>
      </w:r>
      <w:r w:rsidRPr="00DF5159">
        <w:rPr>
          <w:rFonts w:eastAsia="Times New Roman" w:cs="Times New Roman"/>
          <w:szCs w:val="28"/>
          <w:lang w:eastAsia="ru-RU"/>
        </w:rPr>
        <w:t xml:space="preserve"> </w:t>
      </w:r>
      <w:r w:rsidRPr="00701597">
        <w:rPr>
          <w:szCs w:val="28"/>
        </w:rPr>
        <w:t xml:space="preserve">в поєднанні </w:t>
      </w:r>
      <w:r>
        <w:rPr>
          <w:szCs w:val="28"/>
        </w:rPr>
        <w:t>і</w:t>
      </w:r>
      <w:r w:rsidRPr="00701597">
        <w:rPr>
          <w:szCs w:val="28"/>
        </w:rPr>
        <w:t xml:space="preserve">з </w:t>
      </w:r>
      <w:r>
        <w:rPr>
          <w:szCs w:val="28"/>
        </w:rPr>
        <w:t>С</w:t>
      </w:r>
      <w:r w:rsidRPr="00701597">
        <w:rPr>
          <w:szCs w:val="28"/>
        </w:rPr>
        <w:t xml:space="preserve">ІХС </w:t>
      </w:r>
      <w:r>
        <w:rPr>
          <w:szCs w:val="28"/>
        </w:rPr>
        <w:t>(стенокардія напруження І-ІІ функціонального класу)</w:t>
      </w:r>
      <w:r>
        <w:rPr>
          <w:rFonts w:eastAsia="Times New Roman" w:cs="Times New Roman"/>
          <w:szCs w:val="28"/>
          <w:lang w:eastAsia="ru-RU"/>
        </w:rPr>
        <w:t>.</w:t>
      </w:r>
      <w:r w:rsidRPr="00DF5159">
        <w:rPr>
          <w:rFonts w:eastAsia="Times New Roman" w:cs="Times New Roman"/>
          <w:szCs w:val="28"/>
          <w:lang w:eastAsia="ru-RU"/>
        </w:rPr>
        <w:t xml:space="preserve"> Вік від 36 до 7</w:t>
      </w:r>
      <w:r>
        <w:rPr>
          <w:rFonts w:eastAsia="Times New Roman" w:cs="Times New Roman"/>
          <w:szCs w:val="28"/>
          <w:lang w:eastAsia="ru-RU"/>
        </w:rPr>
        <w:t>4</w:t>
      </w:r>
      <w:r w:rsidRPr="00DF5159">
        <w:rPr>
          <w:rFonts w:eastAsia="Times New Roman" w:cs="Times New Roman"/>
          <w:szCs w:val="28"/>
          <w:lang w:eastAsia="ru-RU"/>
        </w:rPr>
        <w:t xml:space="preserve"> років. Контрольну групу створили 26 практично здорових осіб</w:t>
      </w:r>
      <w:r w:rsidRPr="006F671D">
        <w:rPr>
          <w:rFonts w:eastAsia="Times New Roman" w:cs="Times New Roman"/>
          <w:szCs w:val="28"/>
          <w:lang w:eastAsia="ru-RU"/>
        </w:rPr>
        <w:t xml:space="preserve">, </w:t>
      </w:r>
      <w:r w:rsidRPr="00DF5159">
        <w:rPr>
          <w:rFonts w:eastAsia="Times New Roman" w:cs="Times New Roman"/>
          <w:szCs w:val="28"/>
          <w:lang w:eastAsia="ru-RU"/>
        </w:rPr>
        <w:t xml:space="preserve">репрезентативні за віком і статтю. </w:t>
      </w:r>
    </w:p>
    <w:p w:rsidR="00BF5A80" w:rsidRPr="00B934BE" w:rsidRDefault="00BF5A80" w:rsidP="00BF5A80">
      <w:pPr>
        <w:pStyle w:val="Default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алежно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r w:rsidRPr="00B934B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хворі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рандомізовані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. У І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входили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отримували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комплексну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БТ (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інгібітори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ангіотензинперетворювального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ферменту,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антагоністи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кальцію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нітрати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>, бета-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lastRenderedPageBreak/>
        <w:t>адреноблокатори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статини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антиагреганти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Пацієнтам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B934BE">
        <w:rPr>
          <w:rFonts w:ascii="Times New Roman" w:hAnsi="Times New Roman" w:cs="Times New Roman"/>
          <w:sz w:val="28"/>
          <w:szCs w:val="28"/>
        </w:rPr>
        <w:t xml:space="preserve"> особи)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тлі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БТ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проводилася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інфузійна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метаболічна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Корвітином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(0,5 г), а в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Тівортіном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по 100 мл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нутрішньовенно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переходом на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амбулаторний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пероральної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Тівортіна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по 10 мл 2 рази на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4BE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B934BE">
        <w:rPr>
          <w:rFonts w:ascii="Times New Roman" w:hAnsi="Times New Roman" w:cs="Times New Roman"/>
          <w:sz w:val="28"/>
          <w:szCs w:val="28"/>
        </w:rPr>
        <w:t>.</w:t>
      </w:r>
    </w:p>
    <w:p w:rsidR="00BF5A80" w:rsidRDefault="00BF5A80" w:rsidP="00BF5A80">
      <w:pPr>
        <w:tabs>
          <w:tab w:val="left" w:pos="567"/>
          <w:tab w:val="left" w:pos="1134"/>
        </w:tabs>
        <w:spacing w:after="0" w:line="360" w:lineRule="auto"/>
        <w:jc w:val="both"/>
        <w:rPr>
          <w:color w:val="000000"/>
          <w:szCs w:val="28"/>
        </w:rPr>
      </w:pPr>
      <w:r>
        <w:rPr>
          <w:b/>
          <w:szCs w:val="28"/>
        </w:rPr>
        <w:t xml:space="preserve">        </w:t>
      </w:r>
      <w:r w:rsidRPr="00B1653F">
        <w:rPr>
          <w:szCs w:val="28"/>
        </w:rPr>
        <w:t xml:space="preserve">Досліджували </w:t>
      </w:r>
      <w:r>
        <w:rPr>
          <w:szCs w:val="28"/>
        </w:rPr>
        <w:t xml:space="preserve">вміст глюкози у сироватці крові натщесерце з використанням набору тест-систем (BIO-LA-TEST, компанії </w:t>
      </w:r>
      <w:proofErr w:type="spellStart"/>
      <w:r>
        <w:rPr>
          <w:szCs w:val="28"/>
        </w:rPr>
        <w:t>Erba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Lachema</w:t>
      </w:r>
      <w:proofErr w:type="spellEnd"/>
      <w:r>
        <w:rPr>
          <w:szCs w:val="28"/>
        </w:rPr>
        <w:t xml:space="preserve">, Чехія). </w:t>
      </w:r>
      <w:r>
        <w:rPr>
          <w:color w:val="000000"/>
          <w:szCs w:val="28"/>
        </w:rPr>
        <w:t xml:space="preserve">Рівень у крові інсуліну натще визначали </w:t>
      </w:r>
      <w:r>
        <w:rPr>
          <w:szCs w:val="28"/>
        </w:rPr>
        <w:t xml:space="preserve">з використанням стандартних наборів фірми </w:t>
      </w:r>
      <w:proofErr w:type="spellStart"/>
      <w:r>
        <w:rPr>
          <w:szCs w:val="28"/>
          <w:lang w:val="en-US"/>
        </w:rPr>
        <w:t>Monobind</w:t>
      </w:r>
      <w:proofErr w:type="spellEnd"/>
      <w:r w:rsidRPr="00E068F9">
        <w:rPr>
          <w:szCs w:val="28"/>
        </w:rPr>
        <w:t xml:space="preserve"> </w:t>
      </w:r>
      <w:proofErr w:type="spellStart"/>
      <w:r>
        <w:rPr>
          <w:caps/>
          <w:szCs w:val="28"/>
          <w:lang w:val="en-US"/>
        </w:rPr>
        <w:t>i</w:t>
      </w:r>
      <w:r>
        <w:rPr>
          <w:szCs w:val="28"/>
          <w:lang w:val="en-US"/>
        </w:rPr>
        <w:t>nc</w:t>
      </w:r>
      <w:proofErr w:type="spellEnd"/>
      <w:r w:rsidRPr="00E068F9">
        <w:rPr>
          <w:szCs w:val="28"/>
        </w:rPr>
        <w:t>.,</w:t>
      </w:r>
      <w:r>
        <w:rPr>
          <w:szCs w:val="28"/>
        </w:rPr>
        <w:t xml:space="preserve"> (США) </w:t>
      </w:r>
      <w:r>
        <w:rPr>
          <w:color w:val="000000"/>
          <w:szCs w:val="28"/>
        </w:rPr>
        <w:t xml:space="preserve">методом </w:t>
      </w:r>
      <w:proofErr w:type="spellStart"/>
      <w:r>
        <w:rPr>
          <w:color w:val="000000"/>
          <w:szCs w:val="28"/>
        </w:rPr>
        <w:t>імуноферментного</w:t>
      </w:r>
      <w:proofErr w:type="spellEnd"/>
      <w:r>
        <w:rPr>
          <w:color w:val="000000"/>
          <w:szCs w:val="28"/>
        </w:rPr>
        <w:t xml:space="preserve"> аналізу. </w:t>
      </w:r>
      <w:r w:rsidRPr="007356D4">
        <w:rPr>
          <w:color w:val="000000"/>
          <w:szCs w:val="28"/>
        </w:rPr>
        <w:t>Н</w:t>
      </w:r>
      <w:r>
        <w:rPr>
          <w:color w:val="000000"/>
          <w:szCs w:val="28"/>
        </w:rPr>
        <w:t xml:space="preserve">ормальними величинами концентрації інсуліну натще вважали для чоловіків до 25 </w:t>
      </w:r>
      <w:proofErr w:type="spellStart"/>
      <w:r>
        <w:rPr>
          <w:szCs w:val="28"/>
        </w:rPr>
        <w:t>мкОд</w:t>
      </w:r>
      <w:proofErr w:type="spellEnd"/>
      <w:r>
        <w:rPr>
          <w:szCs w:val="28"/>
        </w:rPr>
        <w:t xml:space="preserve">/мл, для жінок – до 23 </w:t>
      </w:r>
      <w:proofErr w:type="spellStart"/>
      <w:r>
        <w:rPr>
          <w:szCs w:val="28"/>
        </w:rPr>
        <w:t>мкОд</w:t>
      </w:r>
      <w:proofErr w:type="spellEnd"/>
      <w:r>
        <w:rPr>
          <w:szCs w:val="28"/>
        </w:rPr>
        <w:t>/мл.</w:t>
      </w:r>
      <w:r w:rsidRPr="007356D4">
        <w:rPr>
          <w:rFonts w:ascii="Times New Roman CYR" w:hAnsi="Times New Roman CYR" w:cs="Times New Roman CYR"/>
          <w:szCs w:val="28"/>
        </w:rPr>
        <w:t xml:space="preserve"> </w:t>
      </w:r>
      <w:r>
        <w:rPr>
          <w:szCs w:val="28"/>
        </w:rPr>
        <w:t>Для оцінки ступеня резистентності до інсуліну використовували малу модель гомеостазу (</w:t>
      </w:r>
      <w:r>
        <w:rPr>
          <w:szCs w:val="28"/>
          <w:lang w:val="en-US"/>
        </w:rPr>
        <w:t>Homeostasis</w:t>
      </w:r>
      <w:r>
        <w:rPr>
          <w:szCs w:val="28"/>
        </w:rPr>
        <w:t xml:space="preserve"> </w:t>
      </w:r>
      <w:r>
        <w:rPr>
          <w:szCs w:val="28"/>
          <w:lang w:val="en-US"/>
        </w:rPr>
        <w:t>Model</w:t>
      </w:r>
      <w:r>
        <w:rPr>
          <w:szCs w:val="28"/>
        </w:rPr>
        <w:t xml:space="preserve"> </w:t>
      </w:r>
      <w:r>
        <w:rPr>
          <w:szCs w:val="28"/>
          <w:lang w:val="en-US"/>
        </w:rPr>
        <w:t>Assessment</w:t>
      </w:r>
      <w:r>
        <w:rPr>
          <w:szCs w:val="28"/>
        </w:rPr>
        <w:t xml:space="preserve"> – НОМА) з визначенням показника НОМА-IR, який обчислювали за формулою: інсулін крові натще (</w:t>
      </w:r>
      <w:proofErr w:type="spellStart"/>
      <w:r>
        <w:rPr>
          <w:szCs w:val="28"/>
        </w:rPr>
        <w:t>мкОд</w:t>
      </w:r>
      <w:proofErr w:type="spellEnd"/>
      <w:r>
        <w:rPr>
          <w:szCs w:val="28"/>
        </w:rPr>
        <w:t xml:space="preserve">/мл) </w:t>
      </w:r>
      <w:r w:rsidRPr="00A515F1">
        <w:rPr>
          <w:sz w:val="22"/>
          <w:szCs w:val="28"/>
        </w:rPr>
        <w:t>х</w:t>
      </w:r>
      <w:r>
        <w:rPr>
          <w:szCs w:val="28"/>
        </w:rPr>
        <w:t xml:space="preserve"> глюкоза плазми крові натще (ммоль/л)/22,5</w:t>
      </w:r>
      <w:r>
        <w:rPr>
          <w:color w:val="000000"/>
          <w:szCs w:val="28"/>
        </w:rPr>
        <w:t xml:space="preserve">. </w:t>
      </w:r>
    </w:p>
    <w:p w:rsidR="00BF5A80" w:rsidRPr="00C76CFC" w:rsidRDefault="00BF5A80" w:rsidP="00BF5A80">
      <w:pPr>
        <w:tabs>
          <w:tab w:val="left" w:pos="567"/>
        </w:tabs>
        <w:spacing w:after="0" w:line="360" w:lineRule="auto"/>
        <w:jc w:val="both"/>
        <w:rPr>
          <w:rFonts w:ascii="Times New Roman CYR" w:hAnsi="Times New Roman CYR" w:cs="Times New Roman CYR"/>
          <w:szCs w:val="28"/>
        </w:rPr>
      </w:pPr>
      <w:r>
        <w:rPr>
          <w:b/>
          <w:szCs w:val="28"/>
        </w:rPr>
        <w:t xml:space="preserve">        </w:t>
      </w:r>
      <w:r w:rsidRPr="008F516B">
        <w:rPr>
          <w:szCs w:val="28"/>
        </w:rPr>
        <w:t>Стан</w:t>
      </w:r>
      <w:r>
        <w:rPr>
          <w:szCs w:val="28"/>
        </w:rPr>
        <w:t xml:space="preserve"> </w:t>
      </w:r>
      <w:r w:rsidRPr="008F516B">
        <w:rPr>
          <w:szCs w:val="28"/>
        </w:rPr>
        <w:t xml:space="preserve">ліпідного обміну вивчали шляхом визначення загального </w:t>
      </w:r>
      <w:proofErr w:type="spellStart"/>
      <w:r w:rsidRPr="008F516B">
        <w:rPr>
          <w:szCs w:val="28"/>
        </w:rPr>
        <w:t>холестеролу</w:t>
      </w:r>
      <w:proofErr w:type="spellEnd"/>
      <w:r w:rsidRPr="008F516B">
        <w:rPr>
          <w:szCs w:val="28"/>
        </w:rPr>
        <w:t xml:space="preserve"> (ЗХС), </w:t>
      </w:r>
      <w:proofErr w:type="spellStart"/>
      <w:r w:rsidRPr="008F516B">
        <w:rPr>
          <w:szCs w:val="28"/>
        </w:rPr>
        <w:t>холестеролу</w:t>
      </w:r>
      <w:proofErr w:type="spellEnd"/>
      <w:r w:rsidRPr="008F516B">
        <w:rPr>
          <w:szCs w:val="28"/>
        </w:rPr>
        <w:t xml:space="preserve"> </w:t>
      </w:r>
      <w:proofErr w:type="spellStart"/>
      <w:r w:rsidRPr="008F516B">
        <w:rPr>
          <w:szCs w:val="28"/>
        </w:rPr>
        <w:t>ліпопротеї</w:t>
      </w:r>
      <w:r>
        <w:rPr>
          <w:szCs w:val="28"/>
        </w:rPr>
        <w:t>нів</w:t>
      </w:r>
      <w:proofErr w:type="spellEnd"/>
      <w:r>
        <w:rPr>
          <w:szCs w:val="28"/>
        </w:rPr>
        <w:t xml:space="preserve"> високої щільності </w:t>
      </w:r>
      <w:r w:rsidRPr="008F516B">
        <w:rPr>
          <w:szCs w:val="28"/>
        </w:rPr>
        <w:t xml:space="preserve">(ХС ЛПВЩ), </w:t>
      </w:r>
      <w:proofErr w:type="spellStart"/>
      <w:r w:rsidRPr="00AB7B15">
        <w:rPr>
          <w:szCs w:val="28"/>
        </w:rPr>
        <w:t>триаци</w:t>
      </w:r>
      <w:r>
        <w:rPr>
          <w:szCs w:val="28"/>
        </w:rPr>
        <w:t>лгліцеролів</w:t>
      </w:r>
      <w:proofErr w:type="spellEnd"/>
      <w:r>
        <w:rPr>
          <w:szCs w:val="28"/>
        </w:rPr>
        <w:t xml:space="preserve"> (ТГ)</w:t>
      </w:r>
      <w:r w:rsidRPr="008F516B">
        <w:rPr>
          <w:szCs w:val="28"/>
        </w:rPr>
        <w:t xml:space="preserve"> з використанням діагност</w:t>
      </w:r>
      <w:r>
        <w:rPr>
          <w:szCs w:val="28"/>
        </w:rPr>
        <w:t>ичних стандартних наборів фірми</w:t>
      </w:r>
      <w:r w:rsidRPr="00FF6993">
        <w:rPr>
          <w:szCs w:val="28"/>
        </w:rPr>
        <w:t xml:space="preserve"> ТОВ НВП «</w:t>
      </w:r>
      <w:proofErr w:type="spellStart"/>
      <w:r w:rsidRPr="00FF6993">
        <w:rPr>
          <w:szCs w:val="28"/>
        </w:rPr>
        <w:t>Філісіт</w:t>
      </w:r>
      <w:proofErr w:type="spellEnd"/>
      <w:r w:rsidRPr="00FF6993">
        <w:rPr>
          <w:szCs w:val="28"/>
        </w:rPr>
        <w:t>-Діагностика»</w:t>
      </w:r>
      <w:r>
        <w:rPr>
          <w:szCs w:val="28"/>
        </w:rPr>
        <w:t xml:space="preserve">. Рівень  </w:t>
      </w:r>
      <w:proofErr w:type="spellStart"/>
      <w:r>
        <w:rPr>
          <w:szCs w:val="28"/>
        </w:rPr>
        <w:t>холестеролу</w:t>
      </w:r>
      <w:proofErr w:type="spellEnd"/>
      <w:r>
        <w:rPr>
          <w:szCs w:val="28"/>
        </w:rPr>
        <w:t xml:space="preserve"> </w:t>
      </w:r>
      <w:proofErr w:type="spellStart"/>
      <w:r w:rsidRPr="00AB7B15">
        <w:rPr>
          <w:szCs w:val="28"/>
        </w:rPr>
        <w:t>ліпопротеїнів</w:t>
      </w:r>
      <w:proofErr w:type="spellEnd"/>
      <w:r w:rsidRPr="00AB7B15">
        <w:rPr>
          <w:szCs w:val="28"/>
        </w:rPr>
        <w:t xml:space="preserve"> низької щільності</w:t>
      </w:r>
      <w:r w:rsidRPr="008F516B">
        <w:rPr>
          <w:szCs w:val="28"/>
        </w:rPr>
        <w:t xml:space="preserve"> (ХС ЛПНЩ) визначали за формулою W. </w:t>
      </w:r>
      <w:proofErr w:type="spellStart"/>
      <w:r w:rsidRPr="008F516B">
        <w:rPr>
          <w:szCs w:val="28"/>
        </w:rPr>
        <w:t>Friedewald</w:t>
      </w:r>
      <w:proofErr w:type="spellEnd"/>
      <w:r>
        <w:rPr>
          <w:szCs w:val="28"/>
        </w:rPr>
        <w:t xml:space="preserve">: ХС ЛПНЩ = ЗХС – ХС ЛПВЩ </w:t>
      </w:r>
      <w:r w:rsidRPr="00FF6993">
        <w:rPr>
          <w:szCs w:val="28"/>
        </w:rPr>
        <w:t>–</w:t>
      </w:r>
      <w:r>
        <w:rPr>
          <w:szCs w:val="28"/>
        </w:rPr>
        <w:t xml:space="preserve"> ТГ/2,2</w:t>
      </w:r>
      <w:r w:rsidRPr="008F516B">
        <w:rPr>
          <w:szCs w:val="28"/>
        </w:rPr>
        <w:t>.</w:t>
      </w:r>
      <w:r>
        <w:rPr>
          <w:szCs w:val="28"/>
        </w:rPr>
        <w:t xml:space="preserve"> </w:t>
      </w:r>
    </w:p>
    <w:p w:rsidR="00BF5A80" w:rsidRPr="002E6A55" w:rsidRDefault="00BF5A80" w:rsidP="00BF5A80">
      <w:pPr>
        <w:tabs>
          <w:tab w:val="left" w:pos="567"/>
        </w:tabs>
        <w:spacing w:after="0" w:line="360" w:lineRule="auto"/>
        <w:ind w:firstLine="567"/>
        <w:jc w:val="both"/>
        <w:rPr>
          <w:szCs w:val="28"/>
        </w:rPr>
      </w:pPr>
      <w:r w:rsidRPr="00B271DC">
        <w:rPr>
          <w:szCs w:val="28"/>
        </w:rPr>
        <w:t xml:space="preserve">Про стан ПОЛ та АОЗ до та після лікування судили за рівнями МА </w:t>
      </w:r>
      <w:r>
        <w:rPr>
          <w:szCs w:val="28"/>
        </w:rPr>
        <w:t xml:space="preserve">у </w:t>
      </w:r>
      <w:r w:rsidRPr="002A0AC3">
        <w:rPr>
          <w:szCs w:val="28"/>
        </w:rPr>
        <w:t>плазм</w:t>
      </w:r>
      <w:r>
        <w:rPr>
          <w:szCs w:val="28"/>
        </w:rPr>
        <w:t>і</w:t>
      </w:r>
      <w:r w:rsidRPr="002A0AC3">
        <w:rPr>
          <w:szCs w:val="28"/>
        </w:rPr>
        <w:t xml:space="preserve"> та еритроцит</w:t>
      </w:r>
      <w:r>
        <w:rPr>
          <w:szCs w:val="28"/>
        </w:rPr>
        <w:t>ах,</w:t>
      </w:r>
      <w:r w:rsidRPr="002A0AC3">
        <w:rPr>
          <w:szCs w:val="28"/>
        </w:rPr>
        <w:t xml:space="preserve"> </w:t>
      </w:r>
      <w:r>
        <w:rPr>
          <w:szCs w:val="28"/>
        </w:rPr>
        <w:t xml:space="preserve">вмістом у плазмі ГВ, ГП, КТ. </w:t>
      </w:r>
    </w:p>
    <w:p w:rsidR="00BF5A80" w:rsidRDefault="00BF5A80" w:rsidP="00BF5A80">
      <w:pPr>
        <w:tabs>
          <w:tab w:val="left" w:pos="540"/>
        </w:tabs>
        <w:spacing w:after="0" w:line="360" w:lineRule="auto"/>
        <w:jc w:val="both"/>
      </w:pPr>
      <w:r w:rsidRPr="003F647D">
        <w:rPr>
          <w:rFonts w:ascii="Times New Roman CYR" w:hAnsi="Times New Roman CYR" w:cs="Times New Roman CYR"/>
          <w:szCs w:val="28"/>
        </w:rPr>
        <w:t xml:space="preserve">        </w:t>
      </w:r>
      <w:r w:rsidRPr="003F647D">
        <w:rPr>
          <w:iCs/>
          <w:szCs w:val="28"/>
        </w:rPr>
        <w:t xml:space="preserve">Стан </w:t>
      </w:r>
      <w:proofErr w:type="spellStart"/>
      <w:r w:rsidRPr="003F647D">
        <w:rPr>
          <w:iCs/>
          <w:szCs w:val="28"/>
        </w:rPr>
        <w:t>ендотеліальної</w:t>
      </w:r>
      <w:proofErr w:type="spellEnd"/>
      <w:r w:rsidRPr="003F647D">
        <w:rPr>
          <w:iCs/>
          <w:szCs w:val="28"/>
        </w:rPr>
        <w:t xml:space="preserve"> функції</w:t>
      </w:r>
      <w:r w:rsidRPr="00411961">
        <w:rPr>
          <w:iCs/>
          <w:szCs w:val="28"/>
        </w:rPr>
        <w:t xml:space="preserve"> оцінювали шляхом визначення продукції NO в організмі за сумарним рівнем його кінцевих метаболітів (</w:t>
      </w:r>
      <w:r w:rsidRPr="00411961">
        <w:rPr>
          <w:szCs w:val="28"/>
        </w:rPr>
        <w:t xml:space="preserve">нітритів та нітратів) </w:t>
      </w:r>
      <w:r w:rsidRPr="00411961">
        <w:rPr>
          <w:iCs/>
          <w:szCs w:val="28"/>
        </w:rPr>
        <w:t>в плазмі крові</w:t>
      </w:r>
      <w:r w:rsidRPr="00411961">
        <w:rPr>
          <w:szCs w:val="28"/>
        </w:rPr>
        <w:t>.</w:t>
      </w:r>
      <w:r w:rsidRPr="00411961">
        <w:rPr>
          <w:iCs/>
          <w:szCs w:val="28"/>
        </w:rPr>
        <w:t xml:space="preserve"> </w:t>
      </w:r>
      <w:r w:rsidRPr="00E068F9">
        <w:rPr>
          <w:szCs w:val="28"/>
        </w:rPr>
        <w:t xml:space="preserve">Дослідження вмісту </w:t>
      </w:r>
      <w:proofErr w:type="spellStart"/>
      <w:r w:rsidRPr="00E068F9">
        <w:rPr>
          <w:szCs w:val="28"/>
        </w:rPr>
        <w:t>ендотелі</w:t>
      </w:r>
      <w:r>
        <w:rPr>
          <w:szCs w:val="28"/>
        </w:rPr>
        <w:t>ального</w:t>
      </w:r>
      <w:proofErr w:type="spellEnd"/>
      <w:r w:rsidRPr="00E068F9">
        <w:rPr>
          <w:szCs w:val="28"/>
        </w:rPr>
        <w:t xml:space="preserve"> судин</w:t>
      </w:r>
      <w:r>
        <w:rPr>
          <w:szCs w:val="28"/>
        </w:rPr>
        <w:t>ного</w:t>
      </w:r>
      <w:r w:rsidRPr="00E068F9">
        <w:rPr>
          <w:szCs w:val="28"/>
        </w:rPr>
        <w:t xml:space="preserve"> </w:t>
      </w:r>
      <w:proofErr w:type="spellStart"/>
      <w:r w:rsidRPr="00E068F9">
        <w:rPr>
          <w:szCs w:val="28"/>
        </w:rPr>
        <w:t>фактор</w:t>
      </w:r>
      <w:r>
        <w:rPr>
          <w:szCs w:val="28"/>
        </w:rPr>
        <w:t>а</w:t>
      </w:r>
      <w:proofErr w:type="spellEnd"/>
      <w:r w:rsidRPr="00E068F9">
        <w:rPr>
          <w:szCs w:val="28"/>
        </w:rPr>
        <w:t xml:space="preserve"> росту людини (</w:t>
      </w:r>
      <w:r w:rsidRPr="00E068F9">
        <w:rPr>
          <w:szCs w:val="28"/>
          <w:lang w:val="en-SG"/>
        </w:rPr>
        <w:t>VEGF</w:t>
      </w:r>
      <w:r>
        <w:rPr>
          <w:szCs w:val="28"/>
        </w:rPr>
        <w:t>-А</w:t>
      </w:r>
      <w:r w:rsidRPr="00E068F9">
        <w:rPr>
          <w:szCs w:val="28"/>
        </w:rPr>
        <w:t xml:space="preserve">) в сироватці крові </w:t>
      </w:r>
      <w:r>
        <w:rPr>
          <w:szCs w:val="28"/>
        </w:rPr>
        <w:t xml:space="preserve">проводилися </w:t>
      </w:r>
      <w:proofErr w:type="spellStart"/>
      <w:r w:rsidRPr="00E068F9">
        <w:rPr>
          <w:szCs w:val="28"/>
        </w:rPr>
        <w:t>імуноферментним</w:t>
      </w:r>
      <w:proofErr w:type="spellEnd"/>
      <w:r w:rsidRPr="00E068F9">
        <w:rPr>
          <w:szCs w:val="28"/>
        </w:rPr>
        <w:t xml:space="preserve"> методом </w:t>
      </w:r>
      <w:r>
        <w:rPr>
          <w:szCs w:val="28"/>
        </w:rPr>
        <w:t>з в</w:t>
      </w:r>
      <w:r w:rsidRPr="00E068F9">
        <w:rPr>
          <w:szCs w:val="28"/>
        </w:rPr>
        <w:t>икорист</w:t>
      </w:r>
      <w:r>
        <w:rPr>
          <w:szCs w:val="28"/>
        </w:rPr>
        <w:t>анням</w:t>
      </w:r>
      <w:r w:rsidRPr="00E068F9">
        <w:rPr>
          <w:szCs w:val="28"/>
        </w:rPr>
        <w:t xml:space="preserve"> стандартн</w:t>
      </w:r>
      <w:r>
        <w:rPr>
          <w:szCs w:val="28"/>
        </w:rPr>
        <w:t>ого</w:t>
      </w:r>
      <w:r w:rsidRPr="00E068F9">
        <w:rPr>
          <w:szCs w:val="28"/>
        </w:rPr>
        <w:t xml:space="preserve"> наб</w:t>
      </w:r>
      <w:r>
        <w:rPr>
          <w:szCs w:val="28"/>
        </w:rPr>
        <w:t>ору</w:t>
      </w:r>
      <w:r w:rsidRPr="00E068F9">
        <w:rPr>
          <w:szCs w:val="28"/>
        </w:rPr>
        <w:t xml:space="preserve"> “</w:t>
      </w:r>
      <w:r w:rsidRPr="00E068F9">
        <w:rPr>
          <w:szCs w:val="28"/>
          <w:lang w:val="en-SG"/>
        </w:rPr>
        <w:t>Human</w:t>
      </w:r>
      <w:r w:rsidRPr="00E068F9">
        <w:rPr>
          <w:szCs w:val="28"/>
        </w:rPr>
        <w:t xml:space="preserve"> </w:t>
      </w:r>
      <w:r w:rsidRPr="00E068F9">
        <w:rPr>
          <w:szCs w:val="28"/>
          <w:lang w:val="en-SG"/>
        </w:rPr>
        <w:t>VEGF</w:t>
      </w:r>
      <w:r w:rsidRPr="00E068F9">
        <w:rPr>
          <w:szCs w:val="28"/>
        </w:rPr>
        <w:t xml:space="preserve">-А </w:t>
      </w:r>
      <w:r w:rsidRPr="00E068F9">
        <w:rPr>
          <w:szCs w:val="28"/>
          <w:lang w:val="en-US"/>
        </w:rPr>
        <w:t>ELISA</w:t>
      </w:r>
      <w:r w:rsidRPr="00E068F9">
        <w:rPr>
          <w:szCs w:val="28"/>
        </w:rPr>
        <w:t xml:space="preserve">” фірми </w:t>
      </w:r>
      <w:proofErr w:type="spellStart"/>
      <w:r w:rsidRPr="00E068F9">
        <w:rPr>
          <w:szCs w:val="28"/>
          <w:lang w:val="en-US"/>
        </w:rPr>
        <w:t>RayBiotech</w:t>
      </w:r>
      <w:proofErr w:type="spellEnd"/>
      <w:r w:rsidRPr="00E068F9">
        <w:rPr>
          <w:szCs w:val="28"/>
        </w:rPr>
        <w:t xml:space="preserve">, </w:t>
      </w:r>
      <w:proofErr w:type="spellStart"/>
      <w:r w:rsidRPr="00E068F9">
        <w:rPr>
          <w:szCs w:val="28"/>
          <w:lang w:val="en-US"/>
        </w:rPr>
        <w:t>Inc</w:t>
      </w:r>
      <w:proofErr w:type="spellEnd"/>
      <w:r w:rsidRPr="00E068F9">
        <w:rPr>
          <w:szCs w:val="28"/>
        </w:rPr>
        <w:t>. США</w:t>
      </w:r>
      <w:r>
        <w:rPr>
          <w:szCs w:val="28"/>
        </w:rPr>
        <w:t>.</w:t>
      </w:r>
      <w:r w:rsidRPr="00E068F9">
        <w:t xml:space="preserve"> </w:t>
      </w:r>
    </w:p>
    <w:p w:rsidR="00BF5A80" w:rsidRDefault="00BF5A80" w:rsidP="00BF5A80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szCs w:val="28"/>
        </w:rPr>
      </w:pPr>
      <w:r>
        <w:rPr>
          <w:iCs/>
          <w:szCs w:val="28"/>
        </w:rPr>
        <w:t xml:space="preserve">Для визначення </w:t>
      </w:r>
      <w:proofErr w:type="spellStart"/>
      <w:r>
        <w:rPr>
          <w:iCs/>
          <w:szCs w:val="28"/>
        </w:rPr>
        <w:t>алелей</w:t>
      </w:r>
      <w:proofErr w:type="spellEnd"/>
      <w:r>
        <w:rPr>
          <w:iCs/>
          <w:szCs w:val="28"/>
        </w:rPr>
        <w:t xml:space="preserve"> поліморфної ділянки (</w:t>
      </w:r>
      <w:r>
        <w:rPr>
          <w:iCs/>
          <w:szCs w:val="28"/>
          <w:lang w:val="en-US"/>
        </w:rPr>
        <w:t>Pro</w:t>
      </w:r>
      <w:r w:rsidRPr="001B66F2">
        <w:rPr>
          <w:iCs/>
          <w:szCs w:val="28"/>
        </w:rPr>
        <w:t>12</w:t>
      </w:r>
      <w:r>
        <w:rPr>
          <w:iCs/>
          <w:szCs w:val="28"/>
          <w:lang w:val="en-US"/>
        </w:rPr>
        <w:t>Ala</w:t>
      </w:r>
      <w:r w:rsidRPr="001B66F2">
        <w:rPr>
          <w:iCs/>
          <w:szCs w:val="28"/>
        </w:rPr>
        <w:t xml:space="preserve">) </w:t>
      </w:r>
      <w:r>
        <w:rPr>
          <w:iCs/>
          <w:szCs w:val="28"/>
        </w:rPr>
        <w:t xml:space="preserve">гена </w:t>
      </w:r>
      <w:r>
        <w:rPr>
          <w:iCs/>
          <w:szCs w:val="28"/>
          <w:lang w:val="en-US"/>
        </w:rPr>
        <w:t>PPAR</w:t>
      </w:r>
      <w:r>
        <w:rPr>
          <w:iCs/>
          <w:szCs w:val="28"/>
        </w:rPr>
        <w:t>γ2</w:t>
      </w:r>
      <w:r w:rsidRPr="00EC1B60">
        <w:rPr>
          <w:iCs/>
          <w:szCs w:val="28"/>
        </w:rPr>
        <w:t xml:space="preserve"> </w:t>
      </w:r>
      <w:r w:rsidRPr="00EC1B60">
        <w:rPr>
          <w:szCs w:val="28"/>
        </w:rPr>
        <w:t>(</w:t>
      </w:r>
      <w:proofErr w:type="spellStart"/>
      <w:r w:rsidRPr="00EC1B60">
        <w:rPr>
          <w:szCs w:val="28"/>
          <w:lang w:val="en-US"/>
        </w:rPr>
        <w:t>rs</w:t>
      </w:r>
      <w:proofErr w:type="spellEnd"/>
      <w:r w:rsidRPr="00EC1B60">
        <w:rPr>
          <w:szCs w:val="28"/>
          <w:lang w:val="en-US"/>
        </w:rPr>
        <w:t> </w:t>
      </w:r>
      <w:r w:rsidRPr="00EC1B60">
        <w:rPr>
          <w:szCs w:val="28"/>
        </w:rPr>
        <w:t xml:space="preserve">1801282) </w:t>
      </w:r>
      <w:r>
        <w:rPr>
          <w:iCs/>
          <w:szCs w:val="28"/>
        </w:rPr>
        <w:t xml:space="preserve">використано метод </w:t>
      </w:r>
      <w:proofErr w:type="spellStart"/>
      <w:r>
        <w:rPr>
          <w:iCs/>
          <w:szCs w:val="28"/>
        </w:rPr>
        <w:t>полімеразної</w:t>
      </w:r>
      <w:proofErr w:type="spellEnd"/>
      <w:r>
        <w:rPr>
          <w:iCs/>
          <w:szCs w:val="28"/>
        </w:rPr>
        <w:t xml:space="preserve"> ланцюгової реакції</w:t>
      </w:r>
      <w:r>
        <w:rPr>
          <w:rFonts w:eastAsia="Calibri"/>
          <w:szCs w:val="28"/>
        </w:rPr>
        <w:t xml:space="preserve">. Досліджувані ділянки генів </w:t>
      </w:r>
      <w:proofErr w:type="spellStart"/>
      <w:r>
        <w:rPr>
          <w:rFonts w:eastAsia="Calibri"/>
          <w:szCs w:val="28"/>
        </w:rPr>
        <w:t>ампліфікували</w:t>
      </w:r>
      <w:proofErr w:type="spellEnd"/>
      <w:r>
        <w:rPr>
          <w:rFonts w:eastAsia="Calibri"/>
          <w:szCs w:val="28"/>
        </w:rPr>
        <w:t xml:space="preserve"> за допомогою специфічних </w:t>
      </w:r>
      <w:proofErr w:type="spellStart"/>
      <w:r>
        <w:rPr>
          <w:rFonts w:eastAsia="Calibri"/>
          <w:szCs w:val="28"/>
        </w:rPr>
        <w:t>праймерів</w:t>
      </w:r>
      <w:proofErr w:type="spellEnd"/>
      <w:r>
        <w:rPr>
          <w:rFonts w:eastAsia="Calibri"/>
          <w:szCs w:val="28"/>
        </w:rPr>
        <w:t xml:space="preserve"> («</w:t>
      </w:r>
      <w:proofErr w:type="spellStart"/>
      <w:r>
        <w:rPr>
          <w:rFonts w:eastAsia="Calibri"/>
          <w:szCs w:val="28"/>
          <w:lang w:val="en-US"/>
        </w:rPr>
        <w:t>Metabion</w:t>
      </w:r>
      <w:proofErr w:type="spellEnd"/>
      <w:r>
        <w:rPr>
          <w:rFonts w:eastAsia="Calibri"/>
          <w:szCs w:val="28"/>
        </w:rPr>
        <w:t xml:space="preserve">», Німеччина). </w:t>
      </w:r>
      <w:r>
        <w:rPr>
          <w:szCs w:val="28"/>
        </w:rPr>
        <w:t xml:space="preserve">Специфічні фрагменти генів </w:t>
      </w:r>
      <w:r>
        <w:rPr>
          <w:rFonts w:eastAsia="Calibri"/>
          <w:i/>
          <w:szCs w:val="28"/>
          <w:lang w:val="en-US"/>
        </w:rPr>
        <w:t>PPAR</w:t>
      </w:r>
      <w:r>
        <w:rPr>
          <w:rFonts w:eastAsia="Calibri"/>
          <w:i/>
          <w:szCs w:val="28"/>
        </w:rPr>
        <w:t>ɣ</w:t>
      </w:r>
      <w:r>
        <w:rPr>
          <w:i/>
          <w:szCs w:val="28"/>
        </w:rPr>
        <w:t xml:space="preserve"> (</w:t>
      </w:r>
      <w:r>
        <w:rPr>
          <w:i/>
          <w:szCs w:val="28"/>
          <w:lang w:val="en-US"/>
        </w:rPr>
        <w:t>Pro</w:t>
      </w:r>
      <w:r>
        <w:rPr>
          <w:i/>
          <w:szCs w:val="28"/>
        </w:rPr>
        <w:t>12</w:t>
      </w:r>
      <w:r>
        <w:rPr>
          <w:i/>
          <w:szCs w:val="28"/>
          <w:lang w:val="en-US"/>
        </w:rPr>
        <w:t>Ala</w:t>
      </w:r>
      <w:r>
        <w:rPr>
          <w:i/>
          <w:szCs w:val="28"/>
        </w:rPr>
        <w:t>)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ампліфікували</w:t>
      </w:r>
      <w:proofErr w:type="spellEnd"/>
      <w:r>
        <w:rPr>
          <w:i/>
          <w:szCs w:val="28"/>
        </w:rPr>
        <w:t xml:space="preserve"> </w:t>
      </w:r>
      <w:r>
        <w:rPr>
          <w:szCs w:val="28"/>
        </w:rPr>
        <w:t xml:space="preserve">із </w:t>
      </w:r>
      <w:r>
        <w:rPr>
          <w:szCs w:val="28"/>
        </w:rPr>
        <w:lastRenderedPageBreak/>
        <w:t>застосуванням комерційного набору</w:t>
      </w:r>
      <w:r>
        <w:rPr>
          <w:i/>
          <w:szCs w:val="28"/>
        </w:rPr>
        <w:t xml:space="preserve"> 5</w:t>
      </w:r>
      <w:r>
        <w:rPr>
          <w:i/>
          <w:szCs w:val="28"/>
          <w:lang w:val="en-US"/>
        </w:rPr>
        <w:t>x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  <w:lang w:val="en-US"/>
        </w:rPr>
        <w:t>FIREPol</w:t>
      </w:r>
      <w:proofErr w:type="spellEnd"/>
      <w:r>
        <w:rPr>
          <w:i/>
          <w:szCs w:val="28"/>
          <w:vertAlign w:val="superscript"/>
        </w:rPr>
        <w:t xml:space="preserve">® </w:t>
      </w:r>
      <w:r>
        <w:rPr>
          <w:i/>
          <w:szCs w:val="28"/>
          <w:lang w:val="en-US"/>
        </w:rPr>
        <w:t>Master</w:t>
      </w:r>
      <w:r>
        <w:rPr>
          <w:i/>
          <w:szCs w:val="28"/>
        </w:rPr>
        <w:t xml:space="preserve"> </w:t>
      </w:r>
      <w:r>
        <w:rPr>
          <w:i/>
          <w:szCs w:val="28"/>
          <w:lang w:val="en-US"/>
        </w:rPr>
        <w:t>Mix</w:t>
      </w:r>
      <w:r>
        <w:rPr>
          <w:i/>
          <w:szCs w:val="28"/>
        </w:rPr>
        <w:t xml:space="preserve"> </w:t>
      </w:r>
      <w:r>
        <w:rPr>
          <w:i/>
          <w:szCs w:val="28"/>
          <w:lang w:val="en-US"/>
        </w:rPr>
        <w:t>Ready</w:t>
      </w:r>
      <w:r>
        <w:rPr>
          <w:i/>
          <w:szCs w:val="28"/>
        </w:rPr>
        <w:t xml:space="preserve"> </w:t>
      </w:r>
      <w:r>
        <w:rPr>
          <w:i/>
          <w:szCs w:val="28"/>
          <w:lang w:val="en-US"/>
        </w:rPr>
        <w:t>to</w:t>
      </w:r>
      <w:r>
        <w:rPr>
          <w:i/>
          <w:szCs w:val="28"/>
        </w:rPr>
        <w:t xml:space="preserve"> </w:t>
      </w:r>
      <w:r>
        <w:rPr>
          <w:i/>
          <w:szCs w:val="28"/>
          <w:lang w:val="en-US"/>
        </w:rPr>
        <w:t>Load</w:t>
      </w:r>
      <w:r>
        <w:rPr>
          <w:i/>
          <w:szCs w:val="28"/>
        </w:rPr>
        <w:t xml:space="preserve"> (7,5 </w:t>
      </w:r>
      <w:proofErr w:type="spellStart"/>
      <w:r>
        <w:rPr>
          <w:i/>
          <w:szCs w:val="28"/>
          <w:lang w:val="en-US"/>
        </w:rPr>
        <w:t>mM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  <w:lang w:val="en-US"/>
        </w:rPr>
        <w:t>MgCl</w:t>
      </w:r>
      <w:proofErr w:type="spellEnd"/>
      <w:r>
        <w:rPr>
          <w:i/>
          <w:szCs w:val="28"/>
          <w:vertAlign w:val="subscript"/>
        </w:rPr>
        <w:t>2</w:t>
      </w:r>
      <w:r>
        <w:rPr>
          <w:i/>
          <w:szCs w:val="28"/>
        </w:rPr>
        <w:t>)</w:t>
      </w:r>
      <w:r>
        <w:rPr>
          <w:szCs w:val="28"/>
        </w:rPr>
        <w:t xml:space="preserve"> (фірми «</w:t>
      </w:r>
      <w:r>
        <w:rPr>
          <w:szCs w:val="28"/>
          <w:lang w:val="en-US"/>
        </w:rPr>
        <w:t>Solis</w:t>
      </w:r>
      <w:r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BioDyne</w:t>
      </w:r>
      <w:proofErr w:type="spellEnd"/>
      <w:r>
        <w:rPr>
          <w:szCs w:val="28"/>
        </w:rPr>
        <w:t>», Естонія)</w:t>
      </w:r>
      <w:r>
        <w:rPr>
          <w:rFonts w:eastAsia="Calibri"/>
          <w:szCs w:val="28"/>
        </w:rPr>
        <w:t xml:space="preserve">. </w:t>
      </w:r>
      <w:r>
        <w:rPr>
          <w:szCs w:val="28"/>
        </w:rPr>
        <w:t>Генетичні д</w:t>
      </w:r>
      <w:r w:rsidRPr="00E068F9">
        <w:rPr>
          <w:szCs w:val="28"/>
        </w:rPr>
        <w:t>ослідження</w:t>
      </w:r>
      <w:r>
        <w:rPr>
          <w:szCs w:val="28"/>
        </w:rPr>
        <w:t xml:space="preserve"> проводилися в Д</w:t>
      </w:r>
      <w:r w:rsidRPr="00124AB1">
        <w:rPr>
          <w:szCs w:val="28"/>
        </w:rPr>
        <w:t>ержавн</w:t>
      </w:r>
      <w:r>
        <w:rPr>
          <w:szCs w:val="28"/>
        </w:rPr>
        <w:t xml:space="preserve">ому закладі « </w:t>
      </w:r>
      <w:proofErr w:type="spellStart"/>
      <w:r>
        <w:rPr>
          <w:szCs w:val="28"/>
        </w:rPr>
        <w:t>Референс</w:t>
      </w:r>
      <w:proofErr w:type="spellEnd"/>
      <w:r>
        <w:rPr>
          <w:szCs w:val="28"/>
        </w:rPr>
        <w:t>-центр з молекулярної діагностики МОЗ України».</w:t>
      </w:r>
    </w:p>
    <w:p w:rsidR="00BF5A80" w:rsidRPr="00DF5159" w:rsidRDefault="00BF5A80" w:rsidP="00BF5A80">
      <w:pPr>
        <w:spacing w:after="0" w:line="360" w:lineRule="auto"/>
        <w:ind w:firstLine="567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DF5159">
        <w:rPr>
          <w:rFonts w:eastAsia="SimSun" w:cs="Times New Roman"/>
          <w:szCs w:val="28"/>
          <w:lang w:eastAsia="zh-CN"/>
        </w:rPr>
        <w:t xml:space="preserve">Статистична обробка результатів дослідження проводилася шляхом визначення </w:t>
      </w:r>
      <w:r w:rsidRPr="00DF5159">
        <w:rPr>
          <w:rFonts w:eastAsia="Times New Roman" w:cs="Times New Roman"/>
          <w:spacing w:val="-2"/>
          <w:szCs w:val="28"/>
          <w:lang w:eastAsia="ru-RU"/>
        </w:rPr>
        <w:t>середніх арифметичних величин (</w:t>
      </w:r>
      <w:r w:rsidRPr="00DF5159">
        <w:rPr>
          <w:rFonts w:eastAsia="Times New Roman" w:cs="Times New Roman"/>
          <w:szCs w:val="28"/>
          <w:lang w:eastAsia="ru-RU"/>
        </w:rPr>
        <w:t>М</w:t>
      </w:r>
      <w:r w:rsidRPr="00DF5159">
        <w:rPr>
          <w:rFonts w:eastAsia="Times New Roman" w:cs="Times New Roman"/>
          <w:spacing w:val="-2"/>
          <w:szCs w:val="28"/>
          <w:lang w:eastAsia="ru-RU"/>
        </w:rPr>
        <w:t xml:space="preserve">) </w:t>
      </w:r>
      <w:r w:rsidRPr="00DF5159">
        <w:rPr>
          <w:rFonts w:eastAsia="Times New Roman" w:cs="Times New Roman"/>
          <w:szCs w:val="28"/>
          <w:lang w:eastAsia="ru-RU"/>
        </w:rPr>
        <w:t>та стандартної похибки (</w:t>
      </w:r>
      <w:r w:rsidRPr="00DF5159">
        <w:rPr>
          <w:rFonts w:eastAsia="Times New Roman" w:cs="Times New Roman"/>
          <w:szCs w:val="28"/>
          <w:lang w:val="en-US" w:eastAsia="ru-RU"/>
        </w:rPr>
        <w:t>m</w:t>
      </w:r>
      <w:r w:rsidRPr="00DF5159">
        <w:rPr>
          <w:rFonts w:eastAsia="Times New Roman" w:cs="Times New Roman"/>
          <w:szCs w:val="28"/>
          <w:lang w:eastAsia="ru-RU"/>
        </w:rPr>
        <w:t>).</w:t>
      </w:r>
      <w:r w:rsidRPr="00DF5159">
        <w:rPr>
          <w:rFonts w:eastAsia="SimSun" w:cs="Times New Roman"/>
          <w:szCs w:val="28"/>
          <w:lang w:eastAsia="zh-CN"/>
        </w:rPr>
        <w:t xml:space="preserve"> Перевірку розподілу вибірок на нормальність здійснювали за критерієм </w:t>
      </w:r>
      <w:proofErr w:type="spellStart"/>
      <w:r w:rsidRPr="00DF5159">
        <w:rPr>
          <w:rFonts w:eastAsia="SimSun" w:cs="Times New Roman"/>
          <w:szCs w:val="28"/>
          <w:lang w:eastAsia="zh-CN"/>
        </w:rPr>
        <w:t>Шапіро-Уілко</w:t>
      </w:r>
      <w:proofErr w:type="spellEnd"/>
      <w:r w:rsidRPr="00DF5159">
        <w:rPr>
          <w:rFonts w:eastAsia="SimSun" w:cs="Times New Roman"/>
          <w:szCs w:val="28"/>
          <w:lang w:eastAsia="zh-CN"/>
        </w:rPr>
        <w:t xml:space="preserve">. </w:t>
      </w:r>
      <w:r w:rsidRPr="00DF5159">
        <w:rPr>
          <w:rFonts w:eastAsia="Times New Roman" w:cs="Times New Roman"/>
          <w:spacing w:val="-2"/>
          <w:szCs w:val="28"/>
          <w:lang w:eastAsia="ru-RU"/>
        </w:rPr>
        <w:t xml:space="preserve">Вірогідність змін у разі нормального розподілу у вибірках визначали за критерієм Стьюдента, в інших випадках застосовували критерій </w:t>
      </w:r>
      <w:proofErr w:type="spellStart"/>
      <w:r w:rsidRPr="00DF5159">
        <w:rPr>
          <w:rFonts w:eastAsia="Times New Roman" w:cs="Times New Roman"/>
          <w:spacing w:val="-2"/>
          <w:szCs w:val="28"/>
          <w:lang w:eastAsia="ru-RU"/>
        </w:rPr>
        <w:t>Уілкоксона</w:t>
      </w:r>
      <w:proofErr w:type="spellEnd"/>
      <w:r w:rsidRPr="00DF5159">
        <w:rPr>
          <w:rFonts w:eastAsia="Times New Roman" w:cs="Times New Roman"/>
          <w:spacing w:val="-2"/>
          <w:szCs w:val="28"/>
          <w:lang w:eastAsia="ru-RU"/>
        </w:rPr>
        <w:t>. Відмінність між вибірками вважалася статистично вірогідною при р&lt;0,05.</w:t>
      </w:r>
    </w:p>
    <w:p w:rsidR="00BF5A80" w:rsidRPr="00DF5159" w:rsidRDefault="00BF5A80" w:rsidP="00BF5A80">
      <w:pPr>
        <w:spacing w:after="0" w:line="360" w:lineRule="auto"/>
        <w:ind w:firstLine="567"/>
        <w:jc w:val="both"/>
        <w:rPr>
          <w:rFonts w:eastAsia="Times New Roman" w:cs="Times New Roman"/>
          <w:b/>
          <w:szCs w:val="24"/>
          <w:lang w:eastAsia="ru-RU"/>
        </w:rPr>
      </w:pPr>
      <w:r w:rsidRPr="00DF5159">
        <w:rPr>
          <w:rFonts w:eastAsia="Times New Roman" w:cs="Times New Roman"/>
          <w:b/>
          <w:szCs w:val="24"/>
          <w:lang w:eastAsia="ru-RU"/>
        </w:rPr>
        <w:t xml:space="preserve">Результати дослідження та їх обговорення. </w:t>
      </w:r>
    </w:p>
    <w:p w:rsidR="00BF5A80" w:rsidRPr="00701597" w:rsidRDefault="00BF5A80" w:rsidP="00BF5A80">
      <w:pPr>
        <w:spacing w:after="0" w:line="360" w:lineRule="auto"/>
        <w:ind w:firstLine="567"/>
        <w:jc w:val="both"/>
        <w:rPr>
          <w:rStyle w:val="st"/>
          <w:szCs w:val="28"/>
        </w:rPr>
      </w:pPr>
      <w:r w:rsidRPr="00701597">
        <w:rPr>
          <w:szCs w:val="28"/>
        </w:rPr>
        <w:t xml:space="preserve">Метаболічні показники у </w:t>
      </w:r>
      <w:r>
        <w:rPr>
          <w:szCs w:val="28"/>
        </w:rPr>
        <w:t>56</w:t>
      </w:r>
      <w:r w:rsidRPr="00701597">
        <w:rPr>
          <w:szCs w:val="28"/>
        </w:rPr>
        <w:t xml:space="preserve"> хворих на ГХ ІІ ст</w:t>
      </w:r>
      <w:r>
        <w:rPr>
          <w:szCs w:val="28"/>
        </w:rPr>
        <w:t>.</w:t>
      </w:r>
      <w:r w:rsidRPr="00701597">
        <w:rPr>
          <w:szCs w:val="28"/>
        </w:rPr>
        <w:t xml:space="preserve"> в поєднанні </w:t>
      </w:r>
      <w:r>
        <w:rPr>
          <w:szCs w:val="28"/>
        </w:rPr>
        <w:t>і</w:t>
      </w:r>
      <w:r w:rsidRPr="00701597">
        <w:rPr>
          <w:szCs w:val="28"/>
        </w:rPr>
        <w:t xml:space="preserve">з </w:t>
      </w:r>
      <w:r>
        <w:rPr>
          <w:szCs w:val="28"/>
        </w:rPr>
        <w:t>С</w:t>
      </w:r>
      <w:r w:rsidRPr="00701597">
        <w:rPr>
          <w:szCs w:val="28"/>
        </w:rPr>
        <w:t>ІХС в проце</w:t>
      </w:r>
      <w:r>
        <w:rPr>
          <w:szCs w:val="28"/>
        </w:rPr>
        <w:t>сі лікування наведені в таблиці 1.</w:t>
      </w:r>
      <w:r w:rsidRPr="00B219E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Встановлено </w:t>
      </w:r>
      <w:r w:rsidRPr="00FF67B2">
        <w:rPr>
          <w:szCs w:val="28"/>
        </w:rPr>
        <w:t xml:space="preserve">позитивний вплив </w:t>
      </w:r>
      <w:proofErr w:type="spellStart"/>
      <w:r w:rsidRPr="00FF67B2">
        <w:rPr>
          <w:szCs w:val="28"/>
        </w:rPr>
        <w:t>метаболітотропної</w:t>
      </w:r>
      <w:proofErr w:type="spellEnd"/>
      <w:r w:rsidRPr="00FF67B2">
        <w:rPr>
          <w:szCs w:val="28"/>
        </w:rPr>
        <w:t xml:space="preserve"> терапії </w:t>
      </w:r>
      <w:proofErr w:type="spellStart"/>
      <w:r w:rsidRPr="00FF67B2">
        <w:rPr>
          <w:szCs w:val="28"/>
        </w:rPr>
        <w:t>Корвітином</w:t>
      </w:r>
      <w:proofErr w:type="spellEnd"/>
      <w:r w:rsidRPr="00FF67B2">
        <w:rPr>
          <w:szCs w:val="28"/>
        </w:rPr>
        <w:t xml:space="preserve"> і </w:t>
      </w:r>
      <w:proofErr w:type="spellStart"/>
      <w:r w:rsidRPr="00FF67B2">
        <w:rPr>
          <w:szCs w:val="28"/>
        </w:rPr>
        <w:t>Тівортіном</w:t>
      </w:r>
      <w:proofErr w:type="spellEnd"/>
      <w:r w:rsidRPr="00FF67B2">
        <w:rPr>
          <w:szCs w:val="28"/>
        </w:rPr>
        <w:t xml:space="preserve"> на показники </w:t>
      </w:r>
      <w:r>
        <w:rPr>
          <w:szCs w:val="28"/>
        </w:rPr>
        <w:t xml:space="preserve">вуглеводного, </w:t>
      </w:r>
      <w:r w:rsidRPr="00FF67B2">
        <w:rPr>
          <w:szCs w:val="28"/>
        </w:rPr>
        <w:t>ліпідного обміну, ПОЛ та АОЗ</w:t>
      </w:r>
      <w:r>
        <w:rPr>
          <w:szCs w:val="28"/>
        </w:rPr>
        <w:t xml:space="preserve"> крові, </w:t>
      </w:r>
      <w:proofErr w:type="spellStart"/>
      <w:r w:rsidRPr="00FF67B2">
        <w:rPr>
          <w:rFonts w:eastAsia="ArialMT"/>
          <w:szCs w:val="28"/>
        </w:rPr>
        <w:t>ендотеліального</w:t>
      </w:r>
      <w:proofErr w:type="spellEnd"/>
      <w:r w:rsidRPr="00FF67B2">
        <w:rPr>
          <w:rFonts w:eastAsia="ArialMT"/>
          <w:szCs w:val="28"/>
        </w:rPr>
        <w:t xml:space="preserve"> судинного ф</w:t>
      </w:r>
      <w:r>
        <w:rPr>
          <w:rFonts w:eastAsia="ArialMT"/>
          <w:szCs w:val="28"/>
        </w:rPr>
        <w:t>а</w:t>
      </w:r>
      <w:r w:rsidRPr="00FF67B2">
        <w:rPr>
          <w:rFonts w:eastAsia="ArialMT"/>
          <w:szCs w:val="28"/>
        </w:rPr>
        <w:t>ктору росту</w:t>
      </w:r>
      <w:r w:rsidRPr="00FF67B2">
        <w:rPr>
          <w:szCs w:val="28"/>
        </w:rPr>
        <w:t xml:space="preserve"> </w:t>
      </w:r>
      <w:r>
        <w:rPr>
          <w:szCs w:val="28"/>
          <w:lang w:val="en-US"/>
        </w:rPr>
        <w:t>VEGF</w:t>
      </w:r>
      <w:r>
        <w:rPr>
          <w:szCs w:val="28"/>
        </w:rPr>
        <w:t xml:space="preserve">-А. </w:t>
      </w:r>
      <w:r w:rsidRPr="00701597">
        <w:rPr>
          <w:szCs w:val="28"/>
        </w:rPr>
        <w:t>В</w:t>
      </w:r>
      <w:r>
        <w:rPr>
          <w:szCs w:val="28"/>
        </w:rPr>
        <w:t>ідзначено</w:t>
      </w:r>
      <w:r w:rsidRPr="00701597">
        <w:rPr>
          <w:szCs w:val="28"/>
        </w:rPr>
        <w:t xml:space="preserve"> достовірне зменшення </w:t>
      </w:r>
      <w:r>
        <w:rPr>
          <w:szCs w:val="28"/>
        </w:rPr>
        <w:t xml:space="preserve">та нормалізація вмісту глюкози крові (на 8,4%), </w:t>
      </w:r>
      <w:r w:rsidRPr="00701597">
        <w:rPr>
          <w:szCs w:val="28"/>
        </w:rPr>
        <w:t xml:space="preserve">достовірне зменшення </w:t>
      </w:r>
      <w:r>
        <w:rPr>
          <w:szCs w:val="28"/>
        </w:rPr>
        <w:t>ІРІ (на 19,8%) та НОМА-</w:t>
      </w:r>
      <w:r>
        <w:rPr>
          <w:szCs w:val="28"/>
          <w:lang w:val="en-US"/>
        </w:rPr>
        <w:t>IR</w:t>
      </w:r>
      <w:r>
        <w:rPr>
          <w:szCs w:val="28"/>
        </w:rPr>
        <w:t xml:space="preserve"> (на 24,1%). К</w:t>
      </w:r>
      <w:r w:rsidRPr="00701597">
        <w:rPr>
          <w:szCs w:val="28"/>
        </w:rPr>
        <w:t>онцентраці</w:t>
      </w:r>
      <w:r>
        <w:rPr>
          <w:szCs w:val="28"/>
        </w:rPr>
        <w:t>я</w:t>
      </w:r>
      <w:r w:rsidRPr="00701597">
        <w:rPr>
          <w:szCs w:val="28"/>
        </w:rPr>
        <w:t xml:space="preserve"> ЗХС </w:t>
      </w:r>
      <w:r>
        <w:rPr>
          <w:szCs w:val="28"/>
        </w:rPr>
        <w:t xml:space="preserve">зменшилася </w:t>
      </w:r>
      <w:r w:rsidRPr="00701597">
        <w:rPr>
          <w:szCs w:val="28"/>
        </w:rPr>
        <w:t>на 8,6%</w:t>
      </w:r>
      <w:r>
        <w:rPr>
          <w:szCs w:val="28"/>
        </w:rPr>
        <w:t xml:space="preserve"> (р</w:t>
      </w:r>
      <w:r w:rsidRPr="00D95C8A">
        <w:rPr>
          <w:szCs w:val="28"/>
        </w:rPr>
        <w:t>&lt;0</w:t>
      </w:r>
      <w:r>
        <w:rPr>
          <w:szCs w:val="28"/>
        </w:rPr>
        <w:t>,05)</w:t>
      </w:r>
      <w:r w:rsidRPr="00701597">
        <w:rPr>
          <w:szCs w:val="28"/>
        </w:rPr>
        <w:t xml:space="preserve">, ТГ </w:t>
      </w:r>
      <w:r>
        <w:rPr>
          <w:szCs w:val="28"/>
        </w:rPr>
        <w:t xml:space="preserve">- </w:t>
      </w:r>
      <w:r w:rsidRPr="00701597">
        <w:rPr>
          <w:szCs w:val="28"/>
        </w:rPr>
        <w:t>на 17,2%</w:t>
      </w:r>
      <w:r>
        <w:rPr>
          <w:szCs w:val="28"/>
        </w:rPr>
        <w:t xml:space="preserve"> (р</w:t>
      </w:r>
      <w:r w:rsidRPr="00D95C8A">
        <w:rPr>
          <w:szCs w:val="28"/>
        </w:rPr>
        <w:t>&lt;0</w:t>
      </w:r>
      <w:r>
        <w:rPr>
          <w:szCs w:val="28"/>
        </w:rPr>
        <w:t>,05)</w:t>
      </w:r>
      <w:r w:rsidRPr="00701597">
        <w:rPr>
          <w:szCs w:val="28"/>
        </w:rPr>
        <w:t xml:space="preserve">, ХС ЛПНЩ </w:t>
      </w:r>
      <w:r>
        <w:rPr>
          <w:szCs w:val="28"/>
        </w:rPr>
        <w:t>- на 10,5% (р</w:t>
      </w:r>
      <w:r w:rsidRPr="00D95C8A">
        <w:rPr>
          <w:szCs w:val="28"/>
        </w:rPr>
        <w:t>&lt;0</w:t>
      </w:r>
      <w:r>
        <w:rPr>
          <w:szCs w:val="28"/>
        </w:rPr>
        <w:t>,05)</w:t>
      </w:r>
      <w:r w:rsidRPr="00701597">
        <w:rPr>
          <w:szCs w:val="28"/>
        </w:rPr>
        <w:t xml:space="preserve">, </w:t>
      </w:r>
      <w:r>
        <w:rPr>
          <w:szCs w:val="28"/>
        </w:rPr>
        <w:t xml:space="preserve">вміст </w:t>
      </w:r>
      <w:r w:rsidRPr="00701597">
        <w:rPr>
          <w:szCs w:val="28"/>
        </w:rPr>
        <w:t xml:space="preserve">ХС ЛПВЩ </w:t>
      </w:r>
      <w:r>
        <w:rPr>
          <w:szCs w:val="28"/>
        </w:rPr>
        <w:t xml:space="preserve">збільшився </w:t>
      </w:r>
      <w:r w:rsidRPr="00701597">
        <w:rPr>
          <w:szCs w:val="28"/>
        </w:rPr>
        <w:t>на 21,42%</w:t>
      </w:r>
      <w:r>
        <w:rPr>
          <w:szCs w:val="28"/>
        </w:rPr>
        <w:t xml:space="preserve"> (р</w:t>
      </w:r>
      <w:r w:rsidRPr="00D95C8A">
        <w:rPr>
          <w:szCs w:val="28"/>
        </w:rPr>
        <w:t>&lt;0</w:t>
      </w:r>
      <w:r>
        <w:rPr>
          <w:szCs w:val="28"/>
        </w:rPr>
        <w:t>,05).</w:t>
      </w:r>
      <w:r w:rsidRPr="00701597">
        <w:rPr>
          <w:szCs w:val="28"/>
        </w:rPr>
        <w:t xml:space="preserve"> </w:t>
      </w:r>
      <w:r>
        <w:rPr>
          <w:szCs w:val="28"/>
        </w:rPr>
        <w:t xml:space="preserve">Встановлено достовірне </w:t>
      </w:r>
      <w:r w:rsidRPr="00701597">
        <w:rPr>
          <w:szCs w:val="28"/>
        </w:rPr>
        <w:t xml:space="preserve">зменшення концентрації МА плазми </w:t>
      </w:r>
      <w:r>
        <w:rPr>
          <w:szCs w:val="28"/>
        </w:rPr>
        <w:t>на 12,6%</w:t>
      </w:r>
      <w:r w:rsidRPr="00701597">
        <w:rPr>
          <w:szCs w:val="28"/>
        </w:rPr>
        <w:t xml:space="preserve"> та еритроцитів </w:t>
      </w:r>
      <w:r>
        <w:rPr>
          <w:szCs w:val="28"/>
        </w:rPr>
        <w:t xml:space="preserve">- </w:t>
      </w:r>
      <w:r w:rsidRPr="00701597">
        <w:rPr>
          <w:szCs w:val="28"/>
        </w:rPr>
        <w:t xml:space="preserve">на 10,2%. Зниження інтенсивності процесів ПОЛ супроводжувалося </w:t>
      </w:r>
      <w:r w:rsidRPr="00D37A18">
        <w:rPr>
          <w:rStyle w:val="a9"/>
          <w:szCs w:val="28"/>
        </w:rPr>
        <w:t>активацією</w:t>
      </w:r>
      <w:r w:rsidRPr="00D37A18">
        <w:rPr>
          <w:rStyle w:val="st"/>
          <w:i/>
          <w:szCs w:val="28"/>
        </w:rPr>
        <w:t xml:space="preserve"> </w:t>
      </w:r>
      <w:r w:rsidRPr="00701597">
        <w:rPr>
          <w:rStyle w:val="st"/>
          <w:szCs w:val="28"/>
        </w:rPr>
        <w:t>систем АОЗ</w:t>
      </w:r>
      <w:r w:rsidRPr="00701597">
        <w:rPr>
          <w:rStyle w:val="a9"/>
          <w:szCs w:val="28"/>
        </w:rPr>
        <w:t>:</w:t>
      </w:r>
      <w:r w:rsidRPr="00701597">
        <w:rPr>
          <w:rStyle w:val="st"/>
          <w:szCs w:val="28"/>
        </w:rPr>
        <w:t xml:space="preserve"> в</w:t>
      </w:r>
      <w:r>
        <w:rPr>
          <w:rStyle w:val="st"/>
          <w:szCs w:val="28"/>
        </w:rPr>
        <w:t>становлено</w:t>
      </w:r>
      <w:r w:rsidRPr="00701597">
        <w:rPr>
          <w:rStyle w:val="st"/>
          <w:szCs w:val="28"/>
        </w:rPr>
        <w:t xml:space="preserve"> достовірне зростання вмісту ГВ на 10,0%, підвищення активності ГП</w:t>
      </w:r>
      <w:r>
        <w:rPr>
          <w:rStyle w:val="st"/>
          <w:szCs w:val="28"/>
        </w:rPr>
        <w:t xml:space="preserve"> - </w:t>
      </w:r>
      <w:r w:rsidRPr="00701597">
        <w:rPr>
          <w:rStyle w:val="st"/>
          <w:szCs w:val="28"/>
        </w:rPr>
        <w:t>на 5,</w:t>
      </w:r>
      <w:r>
        <w:rPr>
          <w:rStyle w:val="st"/>
          <w:szCs w:val="28"/>
        </w:rPr>
        <w:t>8</w:t>
      </w:r>
      <w:r w:rsidRPr="00701597">
        <w:rPr>
          <w:rStyle w:val="st"/>
          <w:szCs w:val="28"/>
        </w:rPr>
        <w:t xml:space="preserve">% і КТ </w:t>
      </w:r>
      <w:r>
        <w:rPr>
          <w:rStyle w:val="st"/>
          <w:szCs w:val="28"/>
        </w:rPr>
        <w:t xml:space="preserve">- </w:t>
      </w:r>
      <w:r w:rsidRPr="00701597">
        <w:rPr>
          <w:rStyle w:val="st"/>
          <w:szCs w:val="28"/>
        </w:rPr>
        <w:t>на 22,</w:t>
      </w:r>
      <w:r>
        <w:rPr>
          <w:rStyle w:val="st"/>
          <w:szCs w:val="28"/>
        </w:rPr>
        <w:t>1</w:t>
      </w:r>
      <w:r w:rsidRPr="00701597">
        <w:rPr>
          <w:rStyle w:val="st"/>
          <w:szCs w:val="28"/>
        </w:rPr>
        <w:t xml:space="preserve">%. Виявлено достовірне зростання вмісту кінцевих метаболітів </w:t>
      </w:r>
      <w:r w:rsidRPr="00701597">
        <w:rPr>
          <w:rStyle w:val="st"/>
          <w:szCs w:val="28"/>
          <w:lang w:val="en-US"/>
        </w:rPr>
        <w:t>NO</w:t>
      </w:r>
      <w:r w:rsidRPr="00701597">
        <w:rPr>
          <w:rStyle w:val="st"/>
          <w:szCs w:val="28"/>
        </w:rPr>
        <w:t xml:space="preserve"> на 22,2%</w:t>
      </w:r>
      <w:r>
        <w:rPr>
          <w:rStyle w:val="st"/>
          <w:szCs w:val="28"/>
        </w:rPr>
        <w:t xml:space="preserve">, </w:t>
      </w:r>
      <w:proofErr w:type="spellStart"/>
      <w:r w:rsidRPr="006449BC">
        <w:rPr>
          <w:rFonts w:eastAsia="ArialMT"/>
          <w:szCs w:val="28"/>
        </w:rPr>
        <w:t>ендотеліального</w:t>
      </w:r>
      <w:proofErr w:type="spellEnd"/>
      <w:r w:rsidRPr="006449BC">
        <w:rPr>
          <w:rFonts w:eastAsia="ArialMT"/>
          <w:szCs w:val="28"/>
        </w:rPr>
        <w:t xml:space="preserve"> судинного фактору росту</w:t>
      </w:r>
      <w:r w:rsidRPr="00701597">
        <w:rPr>
          <w:rStyle w:val="st"/>
          <w:szCs w:val="28"/>
        </w:rPr>
        <w:t xml:space="preserve"> </w:t>
      </w:r>
      <w:r w:rsidRPr="00D1039E">
        <w:rPr>
          <w:iCs/>
          <w:szCs w:val="28"/>
          <w:lang w:val="en-US"/>
        </w:rPr>
        <w:t>VEGF</w:t>
      </w:r>
      <w:r w:rsidRPr="00D1039E">
        <w:rPr>
          <w:iCs/>
          <w:szCs w:val="28"/>
        </w:rPr>
        <w:t>-А</w:t>
      </w:r>
      <w:r w:rsidRPr="00D1039E">
        <w:rPr>
          <w:rStyle w:val="st"/>
          <w:szCs w:val="28"/>
        </w:rPr>
        <w:t xml:space="preserve"> - на 38,</w:t>
      </w:r>
      <w:r>
        <w:rPr>
          <w:rStyle w:val="st"/>
          <w:szCs w:val="28"/>
        </w:rPr>
        <w:t>2%.</w:t>
      </w:r>
    </w:p>
    <w:p w:rsidR="00BF5A80" w:rsidRPr="00D37A18" w:rsidRDefault="00BF5A80" w:rsidP="00BF5A80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8"/>
        </w:rPr>
      </w:pPr>
      <w:r w:rsidRPr="00D37A18">
        <w:rPr>
          <w:szCs w:val="28"/>
        </w:rPr>
        <w:t>Таблиця 1</w:t>
      </w:r>
    </w:p>
    <w:p w:rsidR="00BF5A80" w:rsidRPr="002077D2" w:rsidRDefault="00BF5A80" w:rsidP="00BF5A80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0"/>
          <w:szCs w:val="20"/>
        </w:rPr>
      </w:pPr>
      <w:r w:rsidRPr="002077D2">
        <w:rPr>
          <w:b/>
          <w:bCs/>
          <w:szCs w:val="28"/>
        </w:rPr>
        <w:t xml:space="preserve">Метаболічні показники </w:t>
      </w:r>
      <w:r w:rsidRPr="002077D2">
        <w:rPr>
          <w:b/>
          <w:szCs w:val="28"/>
        </w:rPr>
        <w:t xml:space="preserve">у хворих на ГХ ІІ ст. в поєднанні </w:t>
      </w:r>
      <w:r w:rsidR="0048114E">
        <w:rPr>
          <w:b/>
          <w:szCs w:val="28"/>
        </w:rPr>
        <w:t>і</w:t>
      </w:r>
      <w:r w:rsidRPr="002077D2">
        <w:rPr>
          <w:b/>
          <w:szCs w:val="28"/>
        </w:rPr>
        <w:t xml:space="preserve">з </w:t>
      </w:r>
      <w:r>
        <w:rPr>
          <w:b/>
          <w:szCs w:val="28"/>
        </w:rPr>
        <w:t>С</w:t>
      </w:r>
      <w:r w:rsidRPr="002077D2">
        <w:rPr>
          <w:b/>
          <w:szCs w:val="28"/>
        </w:rPr>
        <w:t xml:space="preserve">ІХС під впливом лікування </w:t>
      </w:r>
      <w:proofErr w:type="spellStart"/>
      <w:r w:rsidRPr="002077D2">
        <w:rPr>
          <w:b/>
          <w:szCs w:val="28"/>
        </w:rPr>
        <w:t>Корвітином</w:t>
      </w:r>
      <w:proofErr w:type="spellEnd"/>
      <w:r w:rsidRPr="002077D2">
        <w:rPr>
          <w:b/>
          <w:szCs w:val="28"/>
        </w:rPr>
        <w:t xml:space="preserve"> і </w:t>
      </w:r>
      <w:proofErr w:type="spellStart"/>
      <w:r w:rsidRPr="002077D2">
        <w:rPr>
          <w:b/>
          <w:szCs w:val="28"/>
        </w:rPr>
        <w:t>Тівортіном</w:t>
      </w:r>
      <w:proofErr w:type="spellEnd"/>
      <w:r w:rsidRPr="002077D2">
        <w:rPr>
          <w:b/>
          <w:szCs w:val="28"/>
        </w:rPr>
        <w:t xml:space="preserve"> впродовж 14 днів (</w:t>
      </w:r>
      <w:r w:rsidRPr="002077D2">
        <w:rPr>
          <w:b/>
          <w:szCs w:val="28"/>
          <w:lang w:val="en-US"/>
        </w:rPr>
        <w:t>M</w:t>
      </w:r>
      <w:r w:rsidRPr="002077D2">
        <w:rPr>
          <w:b/>
          <w:szCs w:val="28"/>
        </w:rPr>
        <w:t>±</w:t>
      </w:r>
      <w:r w:rsidRPr="002077D2">
        <w:rPr>
          <w:b/>
          <w:szCs w:val="28"/>
          <w:lang w:val="en-US"/>
        </w:rPr>
        <w:t>m</w:t>
      </w:r>
      <w:r w:rsidRPr="002077D2">
        <w:rPr>
          <w:b/>
          <w:szCs w:val="28"/>
        </w:rPr>
        <w:t>)</w:t>
      </w:r>
    </w:p>
    <w:tbl>
      <w:tblPr>
        <w:tblpPr w:leftFromText="180" w:rightFromText="180" w:bottomFromText="200" w:vertAnchor="text" w:tblpX="-38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1559"/>
        <w:gridCol w:w="1559"/>
        <w:gridCol w:w="1560"/>
        <w:gridCol w:w="1984"/>
      </w:tblGrid>
      <w:tr w:rsidR="00BF5A80" w:rsidRPr="00701597" w:rsidTr="00062D8B">
        <w:trPr>
          <w:trHeight w:val="84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Показник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Здорові </w:t>
            </w:r>
          </w:p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  <w:lang w:val="en-US"/>
              </w:rPr>
              <w:t>n</w:t>
            </w:r>
            <w:r w:rsidRPr="00C56172">
              <w:rPr>
                <w:sz w:val="24"/>
                <w:szCs w:val="24"/>
              </w:rPr>
              <w:t>=26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Контрольна група (базисна терапія)</w:t>
            </w:r>
          </w:p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  <w:lang w:val="en-US"/>
              </w:rPr>
              <w:t>n</w:t>
            </w:r>
            <w:r w:rsidRPr="00C56172">
              <w:rPr>
                <w:sz w:val="24"/>
                <w:szCs w:val="24"/>
              </w:rPr>
              <w:t>=24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autoSpaceDN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Основна група (базисна + метаболічна терапія)</w:t>
            </w:r>
          </w:p>
          <w:p w:rsidR="00BF5A80" w:rsidRPr="00C56172" w:rsidRDefault="00BF5A80" w:rsidP="00062D8B">
            <w:pPr>
              <w:autoSpaceDN w:val="0"/>
              <w:spacing w:after="0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  <w:lang w:val="en-US"/>
              </w:rPr>
              <w:t>n</w:t>
            </w:r>
            <w:r w:rsidRPr="00C56172">
              <w:rPr>
                <w:sz w:val="24"/>
                <w:szCs w:val="24"/>
              </w:rPr>
              <w:t>=32</w:t>
            </w:r>
          </w:p>
        </w:tc>
      </w:tr>
      <w:tr w:rsidR="00BF5A80" w:rsidRPr="00701597" w:rsidTr="00062D8B">
        <w:trPr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A80" w:rsidRPr="00C56172" w:rsidRDefault="00BF5A80" w:rsidP="00062D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A80" w:rsidRPr="00C56172" w:rsidRDefault="00BF5A80" w:rsidP="00062D8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До лікування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Після лікування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До лікування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Після </w:t>
            </w:r>
          </w:p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лікування</w:t>
            </w:r>
          </w:p>
        </w:tc>
      </w:tr>
      <w:tr w:rsidR="00BF5A8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Глюкоза натще, </w:t>
            </w:r>
            <w:r w:rsidRPr="00C56172">
              <w:rPr>
                <w:sz w:val="24"/>
                <w:szCs w:val="24"/>
              </w:rPr>
              <w:lastRenderedPageBreak/>
              <w:t>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lastRenderedPageBreak/>
              <w:t>4,56±0,07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4,96±0,15*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4,88±0,13*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5,12±0,12*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4,69±0,14**</w:t>
            </w:r>
          </w:p>
        </w:tc>
      </w:tr>
      <w:tr w:rsidR="00BF5A8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lastRenderedPageBreak/>
              <w:t xml:space="preserve">ІРІ натще, </w:t>
            </w:r>
            <w:proofErr w:type="spellStart"/>
            <w:r w:rsidRPr="00C56172">
              <w:rPr>
                <w:sz w:val="24"/>
                <w:szCs w:val="24"/>
              </w:rPr>
              <w:t>мкОд</w:t>
            </w:r>
            <w:proofErr w:type="spellEnd"/>
            <w:r w:rsidRPr="00C56172">
              <w:rPr>
                <w:sz w:val="24"/>
                <w:szCs w:val="24"/>
              </w:rPr>
              <w:t>/мл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bCs/>
                <w:sz w:val="24"/>
                <w:szCs w:val="24"/>
              </w:rPr>
              <w:t>11,06</w:t>
            </w:r>
            <w:r w:rsidRPr="00C56172">
              <w:rPr>
                <w:sz w:val="24"/>
                <w:szCs w:val="24"/>
              </w:rPr>
              <w:t>±1,14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16,02±1,33*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15,13±1,24*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15,77±1,19*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12,65±1,24**</w:t>
            </w:r>
          </w:p>
        </w:tc>
      </w:tr>
      <w:tr w:rsidR="00BF5A8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НОМА-І</w:t>
            </w:r>
            <w:r w:rsidRPr="00C56172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2,37±0,23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3,48±0,22*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3,32±0,25*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3,57±0,27*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2,71±0,29**</w:t>
            </w:r>
          </w:p>
        </w:tc>
      </w:tr>
      <w:tr w:rsidR="00BF5A8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ЗХС, 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4,09±0,23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5,82±0,28*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5,68±0,25*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6,08±0,26*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5,56±0,20*/**</w:t>
            </w:r>
          </w:p>
        </w:tc>
      </w:tr>
      <w:tr w:rsidR="00BF5A8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ТГ, 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1,14±0,07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1,67±0,17*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1,58±0,16*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1,75±0,19*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1,45±0,14**</w:t>
            </w:r>
          </w:p>
        </w:tc>
      </w:tr>
      <w:tr w:rsidR="00BF5A80" w:rsidRPr="00701597" w:rsidTr="00062D8B">
        <w:trPr>
          <w:trHeight w:val="6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ХС ЛПВЩ, 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1,39±0,03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1,02±0,04*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1,08±0,05*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0,98±0,04*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1,19±0,05*/**</w:t>
            </w:r>
          </w:p>
        </w:tc>
      </w:tr>
      <w:tr w:rsidR="00BF5A8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ХС ЛПНЩ, 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2,48±0,08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3,97±0,25*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3,80±0,23*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4,10±0,27*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3,67±0,21*/**</w:t>
            </w:r>
          </w:p>
        </w:tc>
      </w:tr>
      <w:tr w:rsidR="00BF5A8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МА плазми, </w:t>
            </w:r>
            <w:proofErr w:type="spellStart"/>
            <w:r w:rsidRPr="00C56172">
              <w:rPr>
                <w:bCs/>
                <w:sz w:val="24"/>
                <w:szCs w:val="24"/>
              </w:rPr>
              <w:t>мкмоль</w:t>
            </w:r>
            <w:proofErr w:type="spellEnd"/>
            <w:r w:rsidRPr="00C56172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2,49±0,26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5,98±0,52*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5,55±0,57*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6,10±0,50*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5,33±0,49*/**</w:t>
            </w:r>
          </w:p>
        </w:tc>
      </w:tr>
      <w:tr w:rsidR="00BF5A8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МА еритроцитів,</w:t>
            </w:r>
            <w:r w:rsidRPr="00C5617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56172">
              <w:rPr>
                <w:bCs/>
                <w:sz w:val="24"/>
                <w:szCs w:val="24"/>
              </w:rPr>
              <w:t>мкмоль</w:t>
            </w:r>
            <w:proofErr w:type="spellEnd"/>
            <w:r w:rsidRPr="00C56172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6,69±0,37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8,69±0,51*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8,22±0,44*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9,29±0,49*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8,34±0,35*/**</w:t>
            </w:r>
          </w:p>
        </w:tc>
      </w:tr>
      <w:tr w:rsidR="00BF5A8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ГВ, </w:t>
            </w:r>
            <w:r w:rsidRPr="00C56172">
              <w:rPr>
                <w:bCs/>
                <w:sz w:val="24"/>
                <w:szCs w:val="24"/>
              </w:rPr>
              <w:t>ммоль/л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0,86±0,04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0,66±0,04*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0,68±0,04*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0,60±0,03*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0,66±0,03*/**</w:t>
            </w:r>
          </w:p>
        </w:tc>
      </w:tr>
      <w:tr w:rsidR="00BF5A80" w:rsidRPr="00701597" w:rsidTr="00062D8B">
        <w:trPr>
          <w:trHeight w:val="6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Default="00BF5A80" w:rsidP="00062D8B">
            <w:pPr>
              <w:spacing w:after="0"/>
              <w:rPr>
                <w:bCs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ГП, </w:t>
            </w:r>
            <w:proofErr w:type="spellStart"/>
            <w:r w:rsidRPr="00C56172">
              <w:rPr>
                <w:bCs/>
                <w:sz w:val="24"/>
                <w:szCs w:val="24"/>
              </w:rPr>
              <w:t>нмоль</w:t>
            </w:r>
            <w:proofErr w:type="spellEnd"/>
            <w:r w:rsidRPr="00C56172">
              <w:rPr>
                <w:bCs/>
                <w:sz w:val="24"/>
                <w:szCs w:val="24"/>
              </w:rPr>
              <w:t xml:space="preserve"> ГВ за </w:t>
            </w:r>
          </w:p>
          <w:p w:rsidR="00BF5A80" w:rsidRPr="00C56172" w:rsidRDefault="00BF5A80" w:rsidP="00062D8B">
            <w:pPr>
              <w:spacing w:after="0"/>
              <w:rPr>
                <w:sz w:val="24"/>
                <w:szCs w:val="24"/>
              </w:rPr>
            </w:pPr>
            <w:r w:rsidRPr="00C56172">
              <w:rPr>
                <w:bCs/>
                <w:sz w:val="24"/>
                <w:szCs w:val="24"/>
              </w:rPr>
              <w:t xml:space="preserve">1 хв на 1г </w:t>
            </w:r>
            <w:proofErr w:type="spellStart"/>
            <w:r w:rsidRPr="00C56172">
              <w:rPr>
                <w:bCs/>
                <w:sz w:val="24"/>
                <w:szCs w:val="24"/>
              </w:rPr>
              <w:t>Нв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184,56±8,86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219,87±7,11*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223,14±6,23*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color w:val="000000" w:themeColor="text1"/>
                <w:sz w:val="24"/>
                <w:szCs w:val="24"/>
              </w:rPr>
              <w:t>213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>83±5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>52*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226,21±4,43*/**</w:t>
            </w:r>
          </w:p>
        </w:tc>
      </w:tr>
      <w:tr w:rsidR="00BF5A80" w:rsidRPr="00701597" w:rsidTr="00062D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Каталаза,</w:t>
            </w:r>
            <w:r w:rsidRPr="00C5617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56172">
              <w:rPr>
                <w:bCs/>
                <w:sz w:val="24"/>
                <w:szCs w:val="24"/>
              </w:rPr>
              <w:t>мкмоль</w:t>
            </w:r>
            <w:proofErr w:type="spellEnd"/>
            <w:r w:rsidRPr="00C56172">
              <w:rPr>
                <w:bCs/>
                <w:sz w:val="24"/>
                <w:szCs w:val="24"/>
              </w:rPr>
              <w:t xml:space="preserve"> за 1хв на 1г </w:t>
            </w:r>
            <w:proofErr w:type="spellStart"/>
            <w:r w:rsidRPr="00C56172">
              <w:rPr>
                <w:bCs/>
                <w:sz w:val="24"/>
                <w:szCs w:val="24"/>
              </w:rPr>
              <w:t>Нв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16,84±0,76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19,78±0,81*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20,13±1,04*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 xml:space="preserve">19,06±0,78*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23,29±0,75*/ **</w:t>
            </w:r>
          </w:p>
        </w:tc>
      </w:tr>
      <w:tr w:rsidR="00BF5A80" w:rsidRPr="00701597" w:rsidTr="00062D8B">
        <w:trPr>
          <w:trHeight w:val="5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56172">
              <w:rPr>
                <w:iCs/>
                <w:sz w:val="24"/>
                <w:szCs w:val="24"/>
              </w:rPr>
              <w:t>Кінцеві</w:t>
            </w:r>
            <w:r w:rsidRPr="00C56172">
              <w:rPr>
                <w:bCs/>
                <w:sz w:val="24"/>
                <w:szCs w:val="24"/>
              </w:rPr>
              <w:t xml:space="preserve"> метаболіти </w:t>
            </w:r>
            <w:r w:rsidRPr="00C56172">
              <w:rPr>
                <w:bCs/>
                <w:sz w:val="24"/>
                <w:szCs w:val="24"/>
                <w:lang w:val="en-US"/>
              </w:rPr>
              <w:t>NO</w:t>
            </w:r>
            <w:r w:rsidRPr="00C56172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56172">
              <w:rPr>
                <w:bCs/>
                <w:sz w:val="24"/>
                <w:szCs w:val="24"/>
              </w:rPr>
              <w:t>мкмоль</w:t>
            </w:r>
            <w:proofErr w:type="spellEnd"/>
            <w:r w:rsidRPr="00C56172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21,14±0,78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25,27±1,68*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26,23±1,74*</w:t>
            </w:r>
          </w:p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6172">
              <w:rPr>
                <w:color w:val="000000" w:themeColor="text1"/>
                <w:sz w:val="24"/>
                <w:szCs w:val="24"/>
              </w:rPr>
              <w:t>25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>84±1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 xml:space="preserve">69*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6172">
              <w:rPr>
                <w:color w:val="000000" w:themeColor="text1"/>
                <w:sz w:val="24"/>
                <w:szCs w:val="24"/>
              </w:rPr>
              <w:t>31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>58±1</w:t>
            </w:r>
            <w:r w:rsidRPr="00C56172">
              <w:rPr>
                <w:sz w:val="24"/>
                <w:szCs w:val="24"/>
              </w:rPr>
              <w:t>,</w:t>
            </w:r>
            <w:r w:rsidRPr="00C56172">
              <w:rPr>
                <w:color w:val="000000" w:themeColor="text1"/>
                <w:sz w:val="24"/>
                <w:szCs w:val="24"/>
              </w:rPr>
              <w:t>58*/**</w:t>
            </w:r>
          </w:p>
        </w:tc>
      </w:tr>
      <w:tr w:rsidR="00BF5A80" w:rsidRPr="00701597" w:rsidTr="00062D8B">
        <w:trPr>
          <w:trHeight w:val="2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 w:rsidRPr="00C56172">
              <w:rPr>
                <w:iCs/>
                <w:sz w:val="24"/>
                <w:szCs w:val="24"/>
                <w:lang w:val="en-US"/>
              </w:rPr>
              <w:t>VEGF</w:t>
            </w:r>
            <w:r w:rsidRPr="00C56172">
              <w:rPr>
                <w:iCs/>
                <w:sz w:val="24"/>
                <w:szCs w:val="24"/>
              </w:rPr>
              <w:t xml:space="preserve">-А, </w:t>
            </w:r>
            <w:proofErr w:type="spellStart"/>
            <w:r w:rsidRPr="00C56172">
              <w:rPr>
                <w:iCs/>
                <w:sz w:val="24"/>
                <w:szCs w:val="24"/>
              </w:rPr>
              <w:t>пг</w:t>
            </w:r>
            <w:proofErr w:type="spellEnd"/>
            <w:r w:rsidRPr="00C56172">
              <w:rPr>
                <w:iCs/>
                <w:sz w:val="24"/>
                <w:szCs w:val="24"/>
              </w:rPr>
              <w:t>/мл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65,47±7,94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72,12±9,33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68,74±8,55</w:t>
            </w:r>
          </w:p>
          <w:p w:rsidR="00BF5A80" w:rsidRPr="00C56172" w:rsidRDefault="00BF5A80" w:rsidP="0006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80" w:rsidRPr="00C56172" w:rsidRDefault="00BF5A80" w:rsidP="00062D8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56172">
              <w:rPr>
                <w:sz w:val="24"/>
                <w:szCs w:val="24"/>
              </w:rPr>
              <w:t>95,04±11,03**</w:t>
            </w:r>
          </w:p>
        </w:tc>
      </w:tr>
    </w:tbl>
    <w:p w:rsidR="00BF5A80" w:rsidRPr="00701597" w:rsidRDefault="00BF5A80" w:rsidP="00BF5A80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  <w:r w:rsidRPr="00701597">
        <w:rPr>
          <w:szCs w:val="28"/>
        </w:rPr>
        <w:t xml:space="preserve">Примітки: </w:t>
      </w:r>
    </w:p>
    <w:p w:rsidR="00BF5A80" w:rsidRPr="00701597" w:rsidRDefault="00BF5A80" w:rsidP="00BF5A80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  <w:r w:rsidRPr="00701597">
        <w:rPr>
          <w:szCs w:val="28"/>
        </w:rPr>
        <w:t xml:space="preserve">* – різниця вірогідна порівняно з показником у групі контролю (р&lt;0.05); </w:t>
      </w:r>
    </w:p>
    <w:p w:rsidR="00BF5A80" w:rsidRPr="00701597" w:rsidRDefault="00BF5A80" w:rsidP="00BF5A80">
      <w:pPr>
        <w:widowControl w:val="0"/>
        <w:autoSpaceDE w:val="0"/>
        <w:autoSpaceDN w:val="0"/>
        <w:adjustRightInd w:val="0"/>
        <w:spacing w:after="0"/>
        <w:rPr>
          <w:szCs w:val="28"/>
        </w:rPr>
      </w:pPr>
      <w:r w:rsidRPr="00701597">
        <w:rPr>
          <w:szCs w:val="28"/>
        </w:rPr>
        <w:t>** – різниця вірогідна порівняно з показником до лікування (р&lt;0.05).</w:t>
      </w:r>
    </w:p>
    <w:p w:rsidR="00BF5A80" w:rsidRDefault="00BF5A80" w:rsidP="00BF5A80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BF5A80" w:rsidRDefault="00BF5A80" w:rsidP="00BF5A80">
      <w:pPr>
        <w:spacing w:after="0" w:line="360" w:lineRule="auto"/>
        <w:ind w:right="-2" w:firstLine="567"/>
        <w:jc w:val="both"/>
        <w:rPr>
          <w:szCs w:val="28"/>
        </w:rPr>
      </w:pPr>
      <w:r>
        <w:t>У контрольній І групі хворих динаміка вивчених показників метаболізму в процесі лікування виявилася несуттєвою.</w:t>
      </w:r>
      <w:r w:rsidRPr="008A0F0F">
        <w:rPr>
          <w:szCs w:val="28"/>
        </w:rPr>
        <w:t xml:space="preserve"> </w:t>
      </w:r>
    </w:p>
    <w:p w:rsidR="00BF5A80" w:rsidRPr="00092484" w:rsidRDefault="00BF5A80" w:rsidP="00BF5A8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092484">
        <w:rPr>
          <w:szCs w:val="28"/>
        </w:rPr>
        <w:t xml:space="preserve">озитивні результати стаціонарного лікування хворих </w:t>
      </w:r>
      <w:r>
        <w:rPr>
          <w:szCs w:val="28"/>
        </w:rPr>
        <w:t xml:space="preserve">на </w:t>
      </w:r>
      <w:r w:rsidRPr="00092484">
        <w:rPr>
          <w:szCs w:val="28"/>
        </w:rPr>
        <w:t>Г</w:t>
      </w:r>
      <w:r>
        <w:rPr>
          <w:szCs w:val="28"/>
        </w:rPr>
        <w:t>Х</w:t>
      </w:r>
      <w:r w:rsidRPr="00092484">
        <w:rPr>
          <w:szCs w:val="28"/>
        </w:rPr>
        <w:t xml:space="preserve"> ІІ ст</w:t>
      </w:r>
      <w:r>
        <w:rPr>
          <w:szCs w:val="28"/>
        </w:rPr>
        <w:t xml:space="preserve">. </w:t>
      </w:r>
      <w:r w:rsidRPr="00092484">
        <w:rPr>
          <w:szCs w:val="28"/>
        </w:rPr>
        <w:t xml:space="preserve">в поєднанні </w:t>
      </w:r>
      <w:r>
        <w:rPr>
          <w:szCs w:val="28"/>
        </w:rPr>
        <w:t>і</w:t>
      </w:r>
      <w:r w:rsidRPr="00092484">
        <w:rPr>
          <w:szCs w:val="28"/>
        </w:rPr>
        <w:t xml:space="preserve">з </w:t>
      </w:r>
      <w:r>
        <w:rPr>
          <w:szCs w:val="28"/>
        </w:rPr>
        <w:t>С</w:t>
      </w:r>
      <w:r w:rsidRPr="00092484">
        <w:rPr>
          <w:szCs w:val="28"/>
        </w:rPr>
        <w:t xml:space="preserve">ІХС з використанням </w:t>
      </w:r>
      <w:proofErr w:type="spellStart"/>
      <w:r>
        <w:rPr>
          <w:szCs w:val="28"/>
        </w:rPr>
        <w:t>К</w:t>
      </w:r>
      <w:r w:rsidRPr="00092484">
        <w:rPr>
          <w:szCs w:val="28"/>
        </w:rPr>
        <w:t>орвітину</w:t>
      </w:r>
      <w:proofErr w:type="spellEnd"/>
      <w:r w:rsidRPr="00092484">
        <w:rPr>
          <w:szCs w:val="28"/>
        </w:rPr>
        <w:t xml:space="preserve"> і </w:t>
      </w:r>
      <w:proofErr w:type="spellStart"/>
      <w:r w:rsidRPr="00092484">
        <w:rPr>
          <w:szCs w:val="28"/>
        </w:rPr>
        <w:t>Тівортіну</w:t>
      </w:r>
      <w:proofErr w:type="spellEnd"/>
      <w:r w:rsidRPr="00092484">
        <w:rPr>
          <w:szCs w:val="28"/>
        </w:rPr>
        <w:t xml:space="preserve"> зберігаються і через 2 тижні амбулаторного лікування з використанням пероральної форми </w:t>
      </w:r>
      <w:proofErr w:type="spellStart"/>
      <w:r w:rsidRPr="00092484">
        <w:rPr>
          <w:szCs w:val="28"/>
        </w:rPr>
        <w:t>Тівортіну</w:t>
      </w:r>
      <w:proofErr w:type="spellEnd"/>
      <w:r w:rsidRPr="00092484">
        <w:rPr>
          <w:szCs w:val="28"/>
        </w:rPr>
        <w:t xml:space="preserve">. </w:t>
      </w:r>
    </w:p>
    <w:p w:rsidR="00BF5A80" w:rsidRDefault="00BF5A80" w:rsidP="00BF5A80">
      <w:pPr>
        <w:spacing w:after="0" w:line="360" w:lineRule="auto"/>
        <w:ind w:firstLine="567"/>
        <w:jc w:val="both"/>
        <w:rPr>
          <w:b/>
          <w:szCs w:val="28"/>
        </w:rPr>
      </w:pPr>
      <w:r w:rsidRPr="00A243DB">
        <w:rPr>
          <w:szCs w:val="28"/>
        </w:rPr>
        <w:t>Наступним етапом роботи бул</w:t>
      </w:r>
      <w:r>
        <w:rPr>
          <w:szCs w:val="28"/>
        </w:rPr>
        <w:t>о</w:t>
      </w:r>
      <w:r w:rsidRPr="00A243DB">
        <w:rPr>
          <w:szCs w:val="28"/>
        </w:rPr>
        <w:t xml:space="preserve"> </w:t>
      </w:r>
      <w:r>
        <w:rPr>
          <w:szCs w:val="28"/>
        </w:rPr>
        <w:t>в</w:t>
      </w:r>
      <w:r w:rsidRPr="00987C4D">
        <w:rPr>
          <w:szCs w:val="28"/>
        </w:rPr>
        <w:t>ивчен</w:t>
      </w:r>
      <w:r>
        <w:rPr>
          <w:szCs w:val="28"/>
        </w:rPr>
        <w:t>ня</w:t>
      </w:r>
      <w:r w:rsidRPr="00987C4D">
        <w:rPr>
          <w:szCs w:val="28"/>
        </w:rPr>
        <w:t xml:space="preserve"> ефективн</w:t>
      </w:r>
      <w:r>
        <w:rPr>
          <w:szCs w:val="28"/>
        </w:rPr>
        <w:t>о</w:t>
      </w:r>
      <w:r w:rsidRPr="00987C4D">
        <w:rPr>
          <w:szCs w:val="28"/>
        </w:rPr>
        <w:t>ст</w:t>
      </w:r>
      <w:r>
        <w:rPr>
          <w:szCs w:val="28"/>
        </w:rPr>
        <w:t>і</w:t>
      </w:r>
      <w:r w:rsidRPr="00987C4D">
        <w:rPr>
          <w:szCs w:val="28"/>
        </w:rPr>
        <w:t xml:space="preserve"> </w:t>
      </w:r>
      <w:proofErr w:type="spellStart"/>
      <w:r w:rsidRPr="00987C4D">
        <w:rPr>
          <w:szCs w:val="28"/>
        </w:rPr>
        <w:t>метаболітотропної</w:t>
      </w:r>
      <w:proofErr w:type="spellEnd"/>
      <w:r w:rsidRPr="00987C4D">
        <w:rPr>
          <w:szCs w:val="28"/>
        </w:rPr>
        <w:t xml:space="preserve"> терапії </w:t>
      </w:r>
      <w:r>
        <w:rPr>
          <w:szCs w:val="28"/>
        </w:rPr>
        <w:t>пацієнтів в</w:t>
      </w:r>
      <w:r w:rsidRPr="00987C4D">
        <w:rPr>
          <w:szCs w:val="28"/>
        </w:rPr>
        <w:t xml:space="preserve"> залежності від поліморфізму гена </w:t>
      </w:r>
      <w:proofErr w:type="spellStart"/>
      <w:r w:rsidRPr="005D2B0F">
        <w:rPr>
          <w:szCs w:val="28"/>
          <w:lang w:val="en-US"/>
        </w:rPr>
        <w:t>PPARγ</w:t>
      </w:r>
      <w:proofErr w:type="spellEnd"/>
      <w:r w:rsidRPr="00987C4D">
        <w:rPr>
          <w:szCs w:val="28"/>
        </w:rPr>
        <w:t>2.</w:t>
      </w:r>
      <w:r w:rsidRPr="00987C4D">
        <w:rPr>
          <w:b/>
          <w:szCs w:val="28"/>
        </w:rPr>
        <w:t xml:space="preserve"> </w:t>
      </w:r>
    </w:p>
    <w:p w:rsidR="00BF5A80" w:rsidRDefault="00BF5A80" w:rsidP="00BF5A80">
      <w:pPr>
        <w:spacing w:after="0" w:line="360" w:lineRule="auto"/>
        <w:ind w:firstLine="567"/>
        <w:jc w:val="both"/>
        <w:rPr>
          <w:szCs w:val="28"/>
        </w:rPr>
      </w:pPr>
      <w:r w:rsidRPr="005D2B0F">
        <w:rPr>
          <w:szCs w:val="28"/>
        </w:rPr>
        <w:t>Метаболічні показники у 32 хворих на ГХ ІІ ст</w:t>
      </w:r>
      <w:r>
        <w:rPr>
          <w:szCs w:val="28"/>
        </w:rPr>
        <w:t>.</w:t>
      </w:r>
      <w:r w:rsidRPr="005D2B0F">
        <w:rPr>
          <w:szCs w:val="28"/>
        </w:rPr>
        <w:t xml:space="preserve"> в поєднанні </w:t>
      </w:r>
      <w:r>
        <w:rPr>
          <w:szCs w:val="28"/>
        </w:rPr>
        <w:t>і</w:t>
      </w:r>
      <w:r w:rsidRPr="005D2B0F">
        <w:rPr>
          <w:szCs w:val="28"/>
        </w:rPr>
        <w:t xml:space="preserve">з </w:t>
      </w:r>
      <w:r>
        <w:rPr>
          <w:szCs w:val="28"/>
        </w:rPr>
        <w:t>С</w:t>
      </w:r>
      <w:r w:rsidRPr="005D2B0F">
        <w:rPr>
          <w:szCs w:val="28"/>
        </w:rPr>
        <w:t xml:space="preserve">ІХС </w:t>
      </w:r>
      <w:r w:rsidRPr="009A6234">
        <w:rPr>
          <w:szCs w:val="28"/>
        </w:rPr>
        <w:t xml:space="preserve">з різними генотипами гена </w:t>
      </w:r>
      <w:proofErr w:type="spellStart"/>
      <w:r w:rsidRPr="009A6234">
        <w:rPr>
          <w:szCs w:val="28"/>
          <w:lang w:val="en-US"/>
        </w:rPr>
        <w:t>PPARγ</w:t>
      </w:r>
      <w:proofErr w:type="spellEnd"/>
      <w:r w:rsidRPr="009A6234">
        <w:rPr>
          <w:szCs w:val="28"/>
        </w:rPr>
        <w:t xml:space="preserve">2 </w:t>
      </w:r>
      <w:r w:rsidRPr="005D2B0F">
        <w:rPr>
          <w:szCs w:val="28"/>
        </w:rPr>
        <w:t>в процесі</w:t>
      </w:r>
      <w:r>
        <w:rPr>
          <w:szCs w:val="28"/>
        </w:rPr>
        <w:t xml:space="preserve"> стаціонарного лікування наведені в таблиці 2</w:t>
      </w:r>
      <w:r w:rsidRPr="005D2B0F">
        <w:rPr>
          <w:szCs w:val="28"/>
        </w:rPr>
        <w:t xml:space="preserve">. Встановлено достовірний позитивний вплив </w:t>
      </w:r>
      <w:proofErr w:type="spellStart"/>
      <w:r w:rsidRPr="005D2B0F">
        <w:rPr>
          <w:szCs w:val="28"/>
        </w:rPr>
        <w:t>метаболітотропної</w:t>
      </w:r>
      <w:proofErr w:type="spellEnd"/>
      <w:r w:rsidRPr="005D2B0F">
        <w:rPr>
          <w:szCs w:val="28"/>
        </w:rPr>
        <w:t xml:space="preserve"> терапії </w:t>
      </w:r>
      <w:proofErr w:type="spellStart"/>
      <w:r w:rsidRPr="005D2B0F">
        <w:rPr>
          <w:szCs w:val="28"/>
        </w:rPr>
        <w:t>Корвітином</w:t>
      </w:r>
      <w:proofErr w:type="spellEnd"/>
      <w:r w:rsidRPr="005D2B0F">
        <w:rPr>
          <w:szCs w:val="28"/>
        </w:rPr>
        <w:t xml:space="preserve"> і </w:t>
      </w:r>
      <w:proofErr w:type="spellStart"/>
      <w:r w:rsidRPr="005D2B0F">
        <w:rPr>
          <w:szCs w:val="28"/>
        </w:rPr>
        <w:t>Тівортіном</w:t>
      </w:r>
      <w:proofErr w:type="spellEnd"/>
      <w:r w:rsidRPr="005D2B0F">
        <w:rPr>
          <w:szCs w:val="28"/>
        </w:rPr>
        <w:t xml:space="preserve"> на метаболічні показники при обох генотипах гена PPARγ2. </w:t>
      </w:r>
    </w:p>
    <w:p w:rsidR="00BF5A80" w:rsidRPr="005D2B0F" w:rsidRDefault="00BF5A80" w:rsidP="00BF5A80">
      <w:pPr>
        <w:spacing w:after="0" w:line="360" w:lineRule="auto"/>
        <w:ind w:firstLine="567"/>
        <w:jc w:val="both"/>
        <w:rPr>
          <w:rStyle w:val="st"/>
          <w:szCs w:val="28"/>
        </w:rPr>
      </w:pPr>
      <w:r w:rsidRPr="005D2B0F">
        <w:rPr>
          <w:szCs w:val="28"/>
        </w:rPr>
        <w:lastRenderedPageBreak/>
        <w:t xml:space="preserve">У хворих з генотипом </w:t>
      </w:r>
      <w:proofErr w:type="spellStart"/>
      <w:r w:rsidRPr="005D2B0F">
        <w:rPr>
          <w:szCs w:val="28"/>
        </w:rPr>
        <w:t>Pro</w:t>
      </w:r>
      <w:proofErr w:type="spellEnd"/>
      <w:r w:rsidRPr="005D2B0F">
        <w:rPr>
          <w:szCs w:val="28"/>
        </w:rPr>
        <w:t>/</w:t>
      </w:r>
      <w:proofErr w:type="spellStart"/>
      <w:r w:rsidRPr="005D2B0F">
        <w:rPr>
          <w:szCs w:val="28"/>
        </w:rPr>
        <w:t>Pro</w:t>
      </w:r>
      <w:proofErr w:type="spellEnd"/>
      <w:r w:rsidRPr="005D2B0F">
        <w:rPr>
          <w:szCs w:val="28"/>
        </w:rPr>
        <w:t xml:space="preserve"> гена PPARγ2</w:t>
      </w:r>
      <w:r>
        <w:rPr>
          <w:szCs w:val="28"/>
        </w:rPr>
        <w:t xml:space="preserve"> </w:t>
      </w:r>
      <w:r w:rsidRPr="005D2B0F">
        <w:rPr>
          <w:szCs w:val="28"/>
        </w:rPr>
        <w:t>відзначено зниження вмісту глюкози крові на 6,7%, ІРІ - на 10,7%, НОМА-</w:t>
      </w:r>
      <w:r w:rsidRPr="005D2B0F">
        <w:rPr>
          <w:szCs w:val="28"/>
          <w:lang w:val="en-US"/>
        </w:rPr>
        <w:t>IR</w:t>
      </w:r>
      <w:r w:rsidRPr="005D2B0F">
        <w:rPr>
          <w:szCs w:val="28"/>
        </w:rPr>
        <w:t xml:space="preserve"> - на 16,2%. Концентрація ЗХС зменшилася на 5,0%, ТГ - на 19,2%, ХС ЛПНЩ - на 8,6%, вміст ХС ЛПВЩ збільшився на 12,2%. В</w:t>
      </w:r>
      <w:r w:rsidRPr="005D2B0F">
        <w:rPr>
          <w:rStyle w:val="shorttext"/>
          <w:szCs w:val="28"/>
        </w:rPr>
        <w:t>ідзначено</w:t>
      </w:r>
      <w:r w:rsidRPr="005D2B0F">
        <w:rPr>
          <w:szCs w:val="28"/>
        </w:rPr>
        <w:t xml:space="preserve"> достовірне зменшення концентрації МА плазми на 10,1% та еритроцитів - на 6,0%. Зниження інтенсивності процесів ПОЛ супроводжувалося </w:t>
      </w:r>
      <w:r w:rsidRPr="009A6234">
        <w:rPr>
          <w:rStyle w:val="a9"/>
          <w:szCs w:val="28"/>
        </w:rPr>
        <w:t>активацією</w:t>
      </w:r>
      <w:r w:rsidRPr="005D2B0F">
        <w:rPr>
          <w:rStyle w:val="st"/>
          <w:i/>
          <w:szCs w:val="28"/>
        </w:rPr>
        <w:t xml:space="preserve"> </w:t>
      </w:r>
      <w:r w:rsidRPr="005D2B0F">
        <w:rPr>
          <w:rStyle w:val="st"/>
          <w:szCs w:val="28"/>
        </w:rPr>
        <w:t>систем АОЗ</w:t>
      </w:r>
      <w:r w:rsidRPr="005D2B0F">
        <w:rPr>
          <w:rStyle w:val="a9"/>
          <w:szCs w:val="28"/>
        </w:rPr>
        <w:t>:</w:t>
      </w:r>
      <w:r w:rsidRPr="005D2B0F">
        <w:rPr>
          <w:rStyle w:val="st"/>
          <w:szCs w:val="28"/>
        </w:rPr>
        <w:t xml:space="preserve"> встановлено достовірне зростання вмісту ГВ на 10,3%, підвищення активності ГП - на 6,3% і КТ - на 10,7%.</w:t>
      </w:r>
    </w:p>
    <w:p w:rsidR="00BF5A80" w:rsidRPr="005D2B0F" w:rsidRDefault="00BF5A80" w:rsidP="00BF5A8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Style w:val="st"/>
          <w:szCs w:val="28"/>
        </w:rPr>
      </w:pPr>
      <w:proofErr w:type="spellStart"/>
      <w:r w:rsidRPr="005D2B0F">
        <w:rPr>
          <w:szCs w:val="28"/>
        </w:rPr>
        <w:t>Бiльш</w:t>
      </w:r>
      <w:proofErr w:type="spellEnd"/>
      <w:r w:rsidRPr="005D2B0F">
        <w:rPr>
          <w:szCs w:val="28"/>
        </w:rPr>
        <w:t xml:space="preserve"> </w:t>
      </w:r>
      <w:proofErr w:type="spellStart"/>
      <w:r w:rsidRPr="005D2B0F">
        <w:rPr>
          <w:szCs w:val="28"/>
        </w:rPr>
        <w:t>iстотні</w:t>
      </w:r>
      <w:proofErr w:type="spellEnd"/>
      <w:r w:rsidRPr="005D2B0F">
        <w:rPr>
          <w:szCs w:val="28"/>
        </w:rPr>
        <w:t xml:space="preserve"> достовірні зміни показників метаболізму виявлені у </w:t>
      </w:r>
      <w:proofErr w:type="spellStart"/>
      <w:r w:rsidRPr="005D2B0F">
        <w:rPr>
          <w:szCs w:val="28"/>
        </w:rPr>
        <w:t>пацiєнтiв</w:t>
      </w:r>
      <w:proofErr w:type="spellEnd"/>
      <w:r w:rsidRPr="005D2B0F">
        <w:rPr>
          <w:szCs w:val="28"/>
        </w:rPr>
        <w:t xml:space="preserve"> з генотипом </w:t>
      </w:r>
      <w:proofErr w:type="spellStart"/>
      <w:r w:rsidRPr="005D2B0F">
        <w:rPr>
          <w:szCs w:val="28"/>
        </w:rPr>
        <w:t>Pro</w:t>
      </w:r>
      <w:proofErr w:type="spellEnd"/>
      <w:r w:rsidRPr="005D2B0F">
        <w:rPr>
          <w:szCs w:val="28"/>
        </w:rPr>
        <w:t>/</w:t>
      </w:r>
      <w:proofErr w:type="spellStart"/>
      <w:r w:rsidRPr="005D2B0F">
        <w:rPr>
          <w:szCs w:val="28"/>
        </w:rPr>
        <w:t>Ala</w:t>
      </w:r>
      <w:proofErr w:type="spellEnd"/>
      <w:r w:rsidRPr="005D2B0F">
        <w:rPr>
          <w:szCs w:val="28"/>
        </w:rPr>
        <w:t xml:space="preserve"> гена PPARγ2. Після лікування встановлено достовірне зниження вмісту глюкози крові на 9,3%, ІРІ – на 12,5%, НОМА-І</w:t>
      </w:r>
      <w:r w:rsidRPr="005D2B0F">
        <w:rPr>
          <w:szCs w:val="28"/>
          <w:lang w:val="en-US"/>
        </w:rPr>
        <w:t>R</w:t>
      </w:r>
      <w:r w:rsidRPr="005D2B0F">
        <w:rPr>
          <w:szCs w:val="28"/>
        </w:rPr>
        <w:t xml:space="preserve"> – на 20,1%. Концентрація ЗХС зменшилася на 8,7%, ТГ – на 19,5%, ХС ЛПНЩ – на 13,8%, вміст ХС ЛПВЩ збільшився на 17,2%.</w:t>
      </w:r>
      <w:r w:rsidRPr="005D2B0F">
        <w:rPr>
          <w:rStyle w:val="st"/>
          <w:szCs w:val="28"/>
        </w:rPr>
        <w:t xml:space="preserve"> Відзначено достовірне </w:t>
      </w:r>
      <w:r w:rsidRPr="005D2B0F">
        <w:rPr>
          <w:szCs w:val="28"/>
        </w:rPr>
        <w:t xml:space="preserve">зменшення концентрації МА плазми на 14,3% та еритроцитів – на 8,6%, </w:t>
      </w:r>
      <w:r w:rsidRPr="005D2B0F">
        <w:rPr>
          <w:rStyle w:val="st"/>
          <w:szCs w:val="28"/>
        </w:rPr>
        <w:t>зростання вмісту ГВ на 12,9%, підвищення активності ГП - на 9,4% і КТ - на 13,8%.</w:t>
      </w:r>
    </w:p>
    <w:p w:rsidR="00BF5A80" w:rsidRPr="00BE505D" w:rsidRDefault="00BF5A80" w:rsidP="00BF5A80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8"/>
        </w:rPr>
      </w:pPr>
      <w:r w:rsidRPr="00BE505D">
        <w:rPr>
          <w:szCs w:val="28"/>
        </w:rPr>
        <w:t>Таблиця 2</w:t>
      </w:r>
    </w:p>
    <w:p w:rsidR="00BF5A80" w:rsidRPr="005D2B0F" w:rsidRDefault="00BF5A80" w:rsidP="00BF5A8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5D2B0F">
        <w:rPr>
          <w:b/>
          <w:bCs/>
          <w:szCs w:val="28"/>
        </w:rPr>
        <w:t>Метаболічні показники</w:t>
      </w:r>
      <w:r w:rsidRPr="005D2B0F">
        <w:rPr>
          <w:b/>
          <w:bCs/>
          <w:color w:val="FF0000"/>
          <w:szCs w:val="28"/>
        </w:rPr>
        <w:t xml:space="preserve"> </w:t>
      </w:r>
      <w:r w:rsidRPr="005D2B0F">
        <w:rPr>
          <w:b/>
          <w:szCs w:val="28"/>
        </w:rPr>
        <w:t xml:space="preserve">у хворих на ГХ ІІ ст. в поєднанні з </w:t>
      </w:r>
      <w:r w:rsidR="00D259A9">
        <w:rPr>
          <w:b/>
          <w:szCs w:val="28"/>
        </w:rPr>
        <w:t>С</w:t>
      </w:r>
      <w:r w:rsidRPr="005D2B0F">
        <w:rPr>
          <w:b/>
          <w:szCs w:val="28"/>
        </w:rPr>
        <w:t xml:space="preserve">ІХС з різними генотипами гена </w:t>
      </w:r>
      <w:proofErr w:type="spellStart"/>
      <w:r w:rsidRPr="005D2B0F">
        <w:rPr>
          <w:b/>
          <w:szCs w:val="28"/>
          <w:lang w:val="en-US"/>
        </w:rPr>
        <w:t>PPARγ</w:t>
      </w:r>
      <w:proofErr w:type="spellEnd"/>
      <w:r w:rsidRPr="005D2B0F">
        <w:rPr>
          <w:b/>
          <w:szCs w:val="28"/>
        </w:rPr>
        <w:t xml:space="preserve">2 під впливом лікування </w:t>
      </w:r>
      <w:proofErr w:type="spellStart"/>
      <w:r w:rsidRPr="005D2B0F">
        <w:rPr>
          <w:b/>
          <w:szCs w:val="28"/>
        </w:rPr>
        <w:t>Корвітином</w:t>
      </w:r>
      <w:proofErr w:type="spellEnd"/>
      <w:r w:rsidRPr="005D2B0F">
        <w:rPr>
          <w:b/>
          <w:szCs w:val="28"/>
        </w:rPr>
        <w:t xml:space="preserve"> і </w:t>
      </w:r>
      <w:proofErr w:type="spellStart"/>
      <w:r w:rsidRPr="005D2B0F">
        <w:rPr>
          <w:b/>
          <w:szCs w:val="28"/>
        </w:rPr>
        <w:t>Тівортіном</w:t>
      </w:r>
      <w:proofErr w:type="spellEnd"/>
      <w:r w:rsidRPr="005D2B0F">
        <w:rPr>
          <w:b/>
          <w:szCs w:val="28"/>
        </w:rPr>
        <w:t xml:space="preserve"> впродовж 14 днів (</w:t>
      </w:r>
      <w:r w:rsidRPr="005D2B0F">
        <w:rPr>
          <w:b/>
          <w:szCs w:val="28"/>
          <w:lang w:val="en-US"/>
        </w:rPr>
        <w:t>M</w:t>
      </w:r>
      <w:r w:rsidRPr="005D2B0F">
        <w:rPr>
          <w:b/>
          <w:szCs w:val="28"/>
        </w:rPr>
        <w:t>±</w:t>
      </w:r>
      <w:r w:rsidRPr="005D2B0F">
        <w:rPr>
          <w:b/>
          <w:szCs w:val="28"/>
          <w:lang w:val="en-US"/>
        </w:rPr>
        <w:t>m</w:t>
      </w:r>
      <w:r w:rsidRPr="005D2B0F">
        <w:rPr>
          <w:b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6"/>
        <w:gridCol w:w="1630"/>
        <w:gridCol w:w="1910"/>
        <w:gridCol w:w="1859"/>
        <w:gridCol w:w="1910"/>
      </w:tblGrid>
      <w:tr w:rsidR="00BF5A80" w:rsidRPr="005D2B0F" w:rsidTr="00062D8B">
        <w:tc>
          <w:tcPr>
            <w:tcW w:w="2546" w:type="dxa"/>
            <w:vMerge w:val="restart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F5A80" w:rsidRPr="00CF4744" w:rsidRDefault="00BF5A80" w:rsidP="00062D8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proofErr w:type="spellStart"/>
            <w:r w:rsidRPr="00CF4744">
              <w:rPr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7309" w:type="dxa"/>
            <w:gridSpan w:val="4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  <w:lang w:val="en-US"/>
              </w:rPr>
            </w:pPr>
            <w:r w:rsidRPr="00CF4744">
              <w:rPr>
                <w:sz w:val="24"/>
                <w:szCs w:val="24"/>
              </w:rPr>
              <w:t>ГХ ІІ + ІХС (</w:t>
            </w:r>
            <w:r w:rsidRPr="00CF4744">
              <w:rPr>
                <w:sz w:val="24"/>
                <w:szCs w:val="24"/>
                <w:lang w:val="en-US"/>
              </w:rPr>
              <w:t>n=</w:t>
            </w:r>
            <w:r w:rsidRPr="00CF4744">
              <w:rPr>
                <w:sz w:val="24"/>
                <w:szCs w:val="24"/>
              </w:rPr>
              <w:t>32</w:t>
            </w:r>
            <w:r w:rsidRPr="00CF4744">
              <w:rPr>
                <w:sz w:val="24"/>
                <w:szCs w:val="24"/>
                <w:lang w:val="en-US"/>
              </w:rPr>
              <w:t>)</w:t>
            </w:r>
          </w:p>
        </w:tc>
      </w:tr>
      <w:tr w:rsidR="00BF5A80" w:rsidRPr="005D2B0F" w:rsidTr="00062D8B">
        <w:tc>
          <w:tcPr>
            <w:tcW w:w="2546" w:type="dxa"/>
            <w:vMerge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F4744">
              <w:rPr>
                <w:sz w:val="24"/>
                <w:szCs w:val="24"/>
              </w:rPr>
              <w:t>Pro</w:t>
            </w:r>
            <w:proofErr w:type="spellEnd"/>
            <w:r w:rsidRPr="00CF4744">
              <w:rPr>
                <w:sz w:val="24"/>
                <w:szCs w:val="24"/>
              </w:rPr>
              <w:t>/</w:t>
            </w:r>
            <w:proofErr w:type="spellStart"/>
            <w:r w:rsidRPr="00CF4744">
              <w:rPr>
                <w:sz w:val="24"/>
                <w:szCs w:val="24"/>
              </w:rPr>
              <w:t>Pro</w:t>
            </w:r>
            <w:proofErr w:type="spellEnd"/>
            <w:r w:rsidRPr="00CF4744">
              <w:rPr>
                <w:sz w:val="24"/>
                <w:szCs w:val="24"/>
              </w:rPr>
              <w:t xml:space="preserve"> (</w:t>
            </w:r>
            <w:r w:rsidRPr="00CF4744">
              <w:rPr>
                <w:sz w:val="24"/>
                <w:szCs w:val="24"/>
                <w:lang w:val="en-US"/>
              </w:rPr>
              <w:t>n</w:t>
            </w:r>
            <w:r w:rsidRPr="00CF4744">
              <w:rPr>
                <w:sz w:val="24"/>
                <w:szCs w:val="24"/>
                <w:lang w:val="uk-UA"/>
              </w:rPr>
              <w:t>=26)</w:t>
            </w:r>
          </w:p>
        </w:tc>
        <w:tc>
          <w:tcPr>
            <w:tcW w:w="3769" w:type="dxa"/>
            <w:gridSpan w:val="2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proofErr w:type="spellStart"/>
            <w:r w:rsidRPr="00CF4744">
              <w:rPr>
                <w:sz w:val="24"/>
                <w:szCs w:val="24"/>
              </w:rPr>
              <w:t>Pro</w:t>
            </w:r>
            <w:proofErr w:type="spellEnd"/>
            <w:r w:rsidRPr="00CF4744">
              <w:rPr>
                <w:sz w:val="24"/>
                <w:szCs w:val="24"/>
              </w:rPr>
              <w:t>/</w:t>
            </w:r>
            <w:proofErr w:type="spellStart"/>
            <w:r w:rsidRPr="00CF4744">
              <w:rPr>
                <w:sz w:val="24"/>
                <w:szCs w:val="24"/>
              </w:rPr>
              <w:t>Ala</w:t>
            </w:r>
            <w:proofErr w:type="spellEnd"/>
            <w:r w:rsidRPr="00CF4744">
              <w:rPr>
                <w:sz w:val="24"/>
                <w:szCs w:val="24"/>
              </w:rPr>
              <w:t xml:space="preserve"> (</w:t>
            </w:r>
            <w:r w:rsidRPr="00CF4744">
              <w:rPr>
                <w:sz w:val="24"/>
                <w:szCs w:val="24"/>
                <w:lang w:val="en-US"/>
              </w:rPr>
              <w:t>n</w:t>
            </w:r>
            <w:r w:rsidRPr="00CF4744">
              <w:rPr>
                <w:sz w:val="24"/>
                <w:szCs w:val="24"/>
                <w:lang w:val="uk-UA"/>
              </w:rPr>
              <w:t>=6)</w:t>
            </w:r>
          </w:p>
        </w:tc>
      </w:tr>
      <w:tr w:rsidR="00BF5A80" w:rsidRPr="005D2B0F" w:rsidTr="00062D8B">
        <w:trPr>
          <w:trHeight w:val="54"/>
        </w:trPr>
        <w:tc>
          <w:tcPr>
            <w:tcW w:w="2546" w:type="dxa"/>
            <w:vMerge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До </w:t>
            </w:r>
            <w:proofErr w:type="spellStart"/>
            <w:r w:rsidRPr="00CF4744">
              <w:rPr>
                <w:sz w:val="24"/>
                <w:szCs w:val="24"/>
              </w:rPr>
              <w:t>лiкування</w:t>
            </w:r>
            <w:proofErr w:type="spellEnd"/>
          </w:p>
        </w:tc>
        <w:tc>
          <w:tcPr>
            <w:tcW w:w="191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proofErr w:type="spellStart"/>
            <w:r w:rsidRPr="00CF4744">
              <w:rPr>
                <w:sz w:val="24"/>
                <w:szCs w:val="24"/>
              </w:rPr>
              <w:t>Пiсля</w:t>
            </w:r>
            <w:proofErr w:type="spellEnd"/>
            <w:r w:rsidRPr="00CF4744">
              <w:rPr>
                <w:sz w:val="24"/>
                <w:szCs w:val="24"/>
              </w:rPr>
              <w:t xml:space="preserve"> </w:t>
            </w:r>
            <w:proofErr w:type="spellStart"/>
            <w:r w:rsidRPr="00CF4744">
              <w:rPr>
                <w:sz w:val="24"/>
                <w:szCs w:val="24"/>
              </w:rPr>
              <w:t>лiкування</w:t>
            </w:r>
            <w:proofErr w:type="spellEnd"/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До </w:t>
            </w:r>
            <w:proofErr w:type="spellStart"/>
            <w:r w:rsidRPr="00CF4744">
              <w:rPr>
                <w:sz w:val="24"/>
                <w:szCs w:val="24"/>
              </w:rPr>
              <w:t>лiкування</w:t>
            </w:r>
            <w:proofErr w:type="spellEnd"/>
          </w:p>
        </w:tc>
        <w:tc>
          <w:tcPr>
            <w:tcW w:w="191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proofErr w:type="spellStart"/>
            <w:r w:rsidRPr="00CF4744">
              <w:rPr>
                <w:sz w:val="24"/>
                <w:szCs w:val="24"/>
              </w:rPr>
              <w:t>Пiсля</w:t>
            </w:r>
            <w:proofErr w:type="spellEnd"/>
            <w:r w:rsidRPr="00CF4744">
              <w:rPr>
                <w:sz w:val="24"/>
                <w:szCs w:val="24"/>
              </w:rPr>
              <w:t xml:space="preserve"> </w:t>
            </w:r>
            <w:proofErr w:type="spellStart"/>
            <w:r w:rsidRPr="00CF4744">
              <w:rPr>
                <w:sz w:val="24"/>
                <w:szCs w:val="24"/>
              </w:rPr>
              <w:t>лiкування</w:t>
            </w:r>
            <w:proofErr w:type="spellEnd"/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Глюкоза </w:t>
            </w:r>
            <w:proofErr w:type="spellStart"/>
            <w:r w:rsidRPr="00CF4744">
              <w:rPr>
                <w:sz w:val="24"/>
                <w:szCs w:val="24"/>
              </w:rPr>
              <w:t>натще</w:t>
            </w:r>
            <w:proofErr w:type="spellEnd"/>
            <w:r w:rsidRPr="00CF4744">
              <w:rPr>
                <w:sz w:val="24"/>
                <w:szCs w:val="24"/>
              </w:rPr>
              <w:t xml:space="preserve">, </w:t>
            </w:r>
            <w:proofErr w:type="spellStart"/>
            <w:r w:rsidRPr="00CF4744">
              <w:rPr>
                <w:sz w:val="24"/>
                <w:szCs w:val="24"/>
              </w:rPr>
              <w:t>ммоль</w:t>
            </w:r>
            <w:proofErr w:type="spellEnd"/>
            <w:r w:rsidRPr="00CF4744">
              <w:rPr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5,24±0,18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4,89±0,14*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b/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4,98±0,18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4,52±0,15**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ІРІ </w:t>
            </w:r>
            <w:proofErr w:type="spellStart"/>
            <w:r w:rsidRPr="00CF4744">
              <w:rPr>
                <w:sz w:val="24"/>
                <w:szCs w:val="24"/>
              </w:rPr>
              <w:t>натще</w:t>
            </w:r>
            <w:proofErr w:type="spellEnd"/>
            <w:r w:rsidRPr="00CF4744">
              <w:rPr>
                <w:sz w:val="24"/>
                <w:szCs w:val="24"/>
              </w:rPr>
              <w:t xml:space="preserve">, </w:t>
            </w:r>
            <w:proofErr w:type="spellStart"/>
            <w:r w:rsidRPr="00CF4744">
              <w:rPr>
                <w:sz w:val="24"/>
                <w:szCs w:val="24"/>
              </w:rPr>
              <w:t>мкОД</w:t>
            </w:r>
            <w:proofErr w:type="spellEnd"/>
            <w:r w:rsidRPr="00CF4744">
              <w:rPr>
                <w:sz w:val="24"/>
                <w:szCs w:val="24"/>
              </w:rPr>
              <w:t>/мл</w:t>
            </w: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16,04±1,66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14,32±1,31*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b/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15,33±1,62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12,04±1,45**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НОМА-І</w:t>
            </w:r>
            <w:r w:rsidRPr="00CF4744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3,84±0,37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3,22±0,42*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b/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3,30±0,39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2,34±0,46**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ЗХС, </w:t>
            </w:r>
            <w:proofErr w:type="spellStart"/>
            <w:r w:rsidRPr="00CF4744">
              <w:rPr>
                <w:sz w:val="24"/>
                <w:szCs w:val="24"/>
              </w:rPr>
              <w:t>ммоль</w:t>
            </w:r>
            <w:proofErr w:type="spellEnd"/>
            <w:r w:rsidRPr="00CF4744">
              <w:rPr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5,98±0,43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5,68±0,39*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5,74±0,29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5,24±0,34**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ТГ, </w:t>
            </w:r>
            <w:proofErr w:type="spellStart"/>
            <w:r w:rsidRPr="00CF4744">
              <w:rPr>
                <w:sz w:val="24"/>
                <w:szCs w:val="24"/>
              </w:rPr>
              <w:t>ммоль</w:t>
            </w:r>
            <w:proofErr w:type="spellEnd"/>
            <w:r w:rsidRPr="00CF4744">
              <w:rPr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1,88±0,14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1,52±0,15*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1,64±0,18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1,32±0,17**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ХС ЛПВЩ, </w:t>
            </w:r>
            <w:proofErr w:type="spellStart"/>
            <w:r w:rsidRPr="00CF4744">
              <w:rPr>
                <w:sz w:val="24"/>
                <w:szCs w:val="24"/>
              </w:rPr>
              <w:t>ммоль</w:t>
            </w:r>
            <w:proofErr w:type="spellEnd"/>
            <w:r w:rsidRPr="00CF4744">
              <w:rPr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0,98±0,05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1,10±0,07*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1,10±0,12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1,29±0,11**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lastRenderedPageBreak/>
              <w:t xml:space="preserve">ХС ЛПНЩ, </w:t>
            </w:r>
            <w:proofErr w:type="spellStart"/>
            <w:r w:rsidRPr="00CF4744">
              <w:rPr>
                <w:sz w:val="24"/>
                <w:szCs w:val="24"/>
              </w:rPr>
              <w:t>ммоль</w:t>
            </w:r>
            <w:proofErr w:type="spellEnd"/>
            <w:r w:rsidRPr="00CF4744">
              <w:rPr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4,22±0,31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3,86±0,37*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3,91±0,35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3,37±0,29**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МА </w:t>
            </w:r>
            <w:proofErr w:type="spellStart"/>
            <w:r w:rsidRPr="00CF4744">
              <w:rPr>
                <w:sz w:val="24"/>
                <w:szCs w:val="24"/>
              </w:rPr>
              <w:t>плазми</w:t>
            </w:r>
            <w:proofErr w:type="spellEnd"/>
            <w:r w:rsidRPr="00CF4744">
              <w:rPr>
                <w:sz w:val="24"/>
                <w:szCs w:val="24"/>
              </w:rPr>
              <w:t xml:space="preserve">, </w:t>
            </w:r>
            <w:proofErr w:type="spellStart"/>
            <w:r w:rsidRPr="00CF4744">
              <w:rPr>
                <w:bCs/>
                <w:sz w:val="24"/>
                <w:szCs w:val="24"/>
              </w:rPr>
              <w:t>мкмоль</w:t>
            </w:r>
            <w:proofErr w:type="spellEnd"/>
            <w:r w:rsidRPr="00CF4744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6,35±0,36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5,71±0,41*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5,97±0,58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5,12±0,53**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МА </w:t>
            </w:r>
            <w:proofErr w:type="spellStart"/>
            <w:r w:rsidRPr="00CF4744">
              <w:rPr>
                <w:sz w:val="24"/>
                <w:szCs w:val="24"/>
              </w:rPr>
              <w:t>еритроцитів</w:t>
            </w:r>
            <w:proofErr w:type="spellEnd"/>
            <w:r w:rsidRPr="00CF4744">
              <w:rPr>
                <w:sz w:val="24"/>
                <w:szCs w:val="24"/>
              </w:rPr>
              <w:t>,</w:t>
            </w:r>
            <w:r w:rsidRPr="00CF474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4744">
              <w:rPr>
                <w:bCs/>
                <w:sz w:val="24"/>
                <w:szCs w:val="24"/>
              </w:rPr>
              <w:t>мкмоль</w:t>
            </w:r>
            <w:proofErr w:type="spellEnd"/>
            <w:r w:rsidRPr="00CF4744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9,12±0,40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8,58±0,52*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7,89±0,35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7,21±0,40**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ГВ, </w:t>
            </w:r>
            <w:proofErr w:type="spellStart"/>
            <w:r w:rsidRPr="00CF4744">
              <w:rPr>
                <w:bCs/>
                <w:sz w:val="24"/>
                <w:szCs w:val="24"/>
              </w:rPr>
              <w:t>ммоль</w:t>
            </w:r>
            <w:proofErr w:type="spellEnd"/>
            <w:r w:rsidRPr="00CF4744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0,58±0,05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0,64±0,04*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0,62±0,05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0,70±0,04**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 xml:space="preserve">ГП, </w:t>
            </w:r>
            <w:proofErr w:type="spellStart"/>
            <w:r w:rsidRPr="00CF4744">
              <w:rPr>
                <w:bCs/>
                <w:sz w:val="24"/>
                <w:szCs w:val="24"/>
              </w:rPr>
              <w:t>нмоль</w:t>
            </w:r>
            <w:proofErr w:type="spellEnd"/>
            <w:r w:rsidRPr="00CF4744">
              <w:rPr>
                <w:bCs/>
                <w:sz w:val="24"/>
                <w:szCs w:val="24"/>
              </w:rPr>
              <w:t xml:space="preserve"> ГВ за 1 </w:t>
            </w:r>
            <w:proofErr w:type="spellStart"/>
            <w:r w:rsidRPr="00CF4744">
              <w:rPr>
                <w:bCs/>
                <w:sz w:val="24"/>
                <w:szCs w:val="24"/>
              </w:rPr>
              <w:t>хв</w:t>
            </w:r>
            <w:proofErr w:type="spellEnd"/>
            <w:r w:rsidRPr="00CF4744">
              <w:rPr>
                <w:bCs/>
                <w:sz w:val="24"/>
                <w:szCs w:val="24"/>
              </w:rPr>
              <w:t xml:space="preserve"> на 1г </w:t>
            </w:r>
            <w:proofErr w:type="spellStart"/>
            <w:r w:rsidRPr="00CF4744">
              <w:rPr>
                <w:bCs/>
                <w:sz w:val="24"/>
                <w:szCs w:val="24"/>
              </w:rPr>
              <w:t>Нв</w:t>
            </w:r>
            <w:proofErr w:type="spellEnd"/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207,12±8,73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220,12±7,14*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211,58±8,82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231,41±9,12**</w:t>
            </w:r>
          </w:p>
        </w:tc>
      </w:tr>
      <w:tr w:rsidR="00BF5A80" w:rsidRPr="005D2B0F" w:rsidTr="00062D8B">
        <w:tc>
          <w:tcPr>
            <w:tcW w:w="2546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Каталаза,</w:t>
            </w:r>
            <w:r w:rsidRPr="00CF474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4744">
              <w:rPr>
                <w:bCs/>
                <w:sz w:val="24"/>
                <w:szCs w:val="24"/>
              </w:rPr>
              <w:t>мкмоль</w:t>
            </w:r>
            <w:proofErr w:type="spellEnd"/>
            <w:r w:rsidRPr="00CF4744">
              <w:rPr>
                <w:bCs/>
                <w:sz w:val="24"/>
                <w:szCs w:val="24"/>
              </w:rPr>
              <w:t xml:space="preserve"> за 1хв на 1г </w:t>
            </w:r>
            <w:proofErr w:type="spellStart"/>
            <w:r w:rsidRPr="00CF4744">
              <w:rPr>
                <w:bCs/>
                <w:sz w:val="24"/>
                <w:szCs w:val="24"/>
              </w:rPr>
              <w:t>Нв</w:t>
            </w:r>
            <w:proofErr w:type="spellEnd"/>
          </w:p>
        </w:tc>
        <w:tc>
          <w:tcPr>
            <w:tcW w:w="1630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22,14±1,34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24,51±1,41*</w:t>
            </w:r>
          </w:p>
        </w:tc>
        <w:tc>
          <w:tcPr>
            <w:tcW w:w="1859" w:type="dxa"/>
          </w:tcPr>
          <w:p w:rsidR="00BF5A80" w:rsidRPr="00CF4744" w:rsidRDefault="00BF5A80" w:rsidP="00062D8B">
            <w:pPr>
              <w:jc w:val="center"/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24,55±1,91</w:t>
            </w:r>
          </w:p>
        </w:tc>
        <w:tc>
          <w:tcPr>
            <w:tcW w:w="1910" w:type="dxa"/>
          </w:tcPr>
          <w:p w:rsidR="00BF5A80" w:rsidRPr="00CF4744" w:rsidRDefault="00BF5A80" w:rsidP="00062D8B">
            <w:pPr>
              <w:rPr>
                <w:sz w:val="24"/>
                <w:szCs w:val="24"/>
              </w:rPr>
            </w:pPr>
            <w:r w:rsidRPr="00CF4744">
              <w:rPr>
                <w:sz w:val="24"/>
                <w:szCs w:val="24"/>
              </w:rPr>
              <w:t>27,94±1,67**</w:t>
            </w:r>
          </w:p>
        </w:tc>
      </w:tr>
    </w:tbl>
    <w:p w:rsidR="00BF5A80" w:rsidRPr="005D2B0F" w:rsidRDefault="00BF5A80" w:rsidP="00BF5A80">
      <w:pPr>
        <w:spacing w:after="0"/>
        <w:jc w:val="both"/>
        <w:rPr>
          <w:szCs w:val="28"/>
        </w:rPr>
      </w:pPr>
      <w:proofErr w:type="spellStart"/>
      <w:r w:rsidRPr="005D2B0F">
        <w:rPr>
          <w:szCs w:val="28"/>
        </w:rPr>
        <w:t>Примiтки</w:t>
      </w:r>
      <w:proofErr w:type="spellEnd"/>
      <w:r w:rsidRPr="005D2B0F">
        <w:rPr>
          <w:szCs w:val="28"/>
        </w:rPr>
        <w:t>:</w:t>
      </w:r>
    </w:p>
    <w:p w:rsidR="00BF5A80" w:rsidRPr="005D2B0F" w:rsidRDefault="00BF5A80" w:rsidP="00BF5A80">
      <w:pPr>
        <w:spacing w:after="0"/>
        <w:jc w:val="both"/>
        <w:rPr>
          <w:szCs w:val="28"/>
        </w:rPr>
      </w:pPr>
      <w:r w:rsidRPr="005D2B0F">
        <w:rPr>
          <w:szCs w:val="28"/>
        </w:rPr>
        <w:t xml:space="preserve"> * - різниця вірогідна </w:t>
      </w:r>
      <w:proofErr w:type="spellStart"/>
      <w:r w:rsidRPr="005D2B0F">
        <w:rPr>
          <w:szCs w:val="28"/>
        </w:rPr>
        <w:t>мiж</w:t>
      </w:r>
      <w:proofErr w:type="spellEnd"/>
      <w:r w:rsidRPr="005D2B0F">
        <w:rPr>
          <w:szCs w:val="28"/>
        </w:rPr>
        <w:t xml:space="preserve"> групами з генотипом </w:t>
      </w:r>
      <w:proofErr w:type="spellStart"/>
      <w:r w:rsidRPr="005D2B0F">
        <w:rPr>
          <w:szCs w:val="28"/>
        </w:rPr>
        <w:t>Pro</w:t>
      </w:r>
      <w:proofErr w:type="spellEnd"/>
      <w:r w:rsidRPr="005D2B0F">
        <w:rPr>
          <w:szCs w:val="28"/>
        </w:rPr>
        <w:t>/</w:t>
      </w:r>
      <w:proofErr w:type="spellStart"/>
      <w:r w:rsidRPr="005D2B0F">
        <w:rPr>
          <w:szCs w:val="28"/>
        </w:rPr>
        <w:t>Pro</w:t>
      </w:r>
      <w:proofErr w:type="spellEnd"/>
      <w:r w:rsidRPr="005D2B0F">
        <w:rPr>
          <w:szCs w:val="28"/>
        </w:rPr>
        <w:t xml:space="preserve"> </w:t>
      </w:r>
      <w:proofErr w:type="spellStart"/>
      <w:r w:rsidRPr="005D2B0F">
        <w:rPr>
          <w:szCs w:val="28"/>
        </w:rPr>
        <w:t>пiсля</w:t>
      </w:r>
      <w:proofErr w:type="spellEnd"/>
      <w:r w:rsidRPr="005D2B0F">
        <w:rPr>
          <w:szCs w:val="28"/>
        </w:rPr>
        <w:t xml:space="preserve"> i до лікування (p&lt;0,05); </w:t>
      </w:r>
    </w:p>
    <w:p w:rsidR="00BF5A80" w:rsidRPr="005D2B0F" w:rsidRDefault="00BF5A80" w:rsidP="00BF5A80">
      <w:pPr>
        <w:spacing w:after="0"/>
        <w:jc w:val="both"/>
        <w:rPr>
          <w:szCs w:val="28"/>
        </w:rPr>
      </w:pPr>
      <w:r w:rsidRPr="005D2B0F">
        <w:rPr>
          <w:szCs w:val="28"/>
        </w:rPr>
        <w:t xml:space="preserve">** - різниця вірогідна </w:t>
      </w:r>
      <w:proofErr w:type="spellStart"/>
      <w:r w:rsidRPr="005D2B0F">
        <w:rPr>
          <w:szCs w:val="28"/>
        </w:rPr>
        <w:t>мiж</w:t>
      </w:r>
      <w:proofErr w:type="spellEnd"/>
      <w:r w:rsidRPr="005D2B0F">
        <w:rPr>
          <w:szCs w:val="28"/>
        </w:rPr>
        <w:t xml:space="preserve"> групами з генотипом </w:t>
      </w:r>
      <w:proofErr w:type="spellStart"/>
      <w:r w:rsidRPr="005D2B0F">
        <w:rPr>
          <w:szCs w:val="28"/>
        </w:rPr>
        <w:t>Pro</w:t>
      </w:r>
      <w:proofErr w:type="spellEnd"/>
      <w:r w:rsidRPr="005D2B0F">
        <w:rPr>
          <w:szCs w:val="28"/>
        </w:rPr>
        <w:t>/</w:t>
      </w:r>
      <w:proofErr w:type="spellStart"/>
      <w:r w:rsidRPr="005D2B0F">
        <w:rPr>
          <w:szCs w:val="28"/>
        </w:rPr>
        <w:t>Ala</w:t>
      </w:r>
      <w:proofErr w:type="spellEnd"/>
      <w:r w:rsidRPr="005D2B0F">
        <w:rPr>
          <w:szCs w:val="28"/>
        </w:rPr>
        <w:t xml:space="preserve"> </w:t>
      </w:r>
      <w:proofErr w:type="spellStart"/>
      <w:r w:rsidRPr="005D2B0F">
        <w:rPr>
          <w:szCs w:val="28"/>
        </w:rPr>
        <w:t>пiсля</w:t>
      </w:r>
      <w:proofErr w:type="spellEnd"/>
      <w:r w:rsidRPr="005D2B0F">
        <w:rPr>
          <w:szCs w:val="28"/>
        </w:rPr>
        <w:t xml:space="preserve"> i до лікування (p&lt;0,05); </w:t>
      </w:r>
    </w:p>
    <w:p w:rsidR="00BF5A80" w:rsidRPr="005D2B0F" w:rsidRDefault="00BF5A80" w:rsidP="00BF5A80">
      <w:pPr>
        <w:spacing w:after="0"/>
        <w:rPr>
          <w:szCs w:val="28"/>
        </w:rPr>
      </w:pPr>
    </w:p>
    <w:p w:rsidR="00BF5A80" w:rsidRDefault="00BF5A80" w:rsidP="00BF5A80">
      <w:pPr>
        <w:spacing w:after="0" w:line="360" w:lineRule="auto"/>
        <w:ind w:firstLine="567"/>
        <w:jc w:val="both"/>
        <w:rPr>
          <w:szCs w:val="28"/>
        </w:rPr>
      </w:pPr>
      <w:r w:rsidRPr="005D2B0F">
        <w:rPr>
          <w:szCs w:val="28"/>
        </w:rPr>
        <w:t xml:space="preserve">Таким чином, </w:t>
      </w:r>
      <w:proofErr w:type="spellStart"/>
      <w:r w:rsidRPr="005D2B0F">
        <w:rPr>
          <w:szCs w:val="28"/>
        </w:rPr>
        <w:t>пiсля</w:t>
      </w:r>
      <w:proofErr w:type="spellEnd"/>
      <w:r w:rsidRPr="005D2B0F">
        <w:rPr>
          <w:szCs w:val="28"/>
        </w:rPr>
        <w:t xml:space="preserve"> проведення </w:t>
      </w:r>
      <w:r>
        <w:rPr>
          <w:szCs w:val="28"/>
        </w:rPr>
        <w:t xml:space="preserve">двотижневої </w:t>
      </w:r>
      <w:proofErr w:type="spellStart"/>
      <w:r w:rsidRPr="005D2B0F">
        <w:rPr>
          <w:szCs w:val="28"/>
        </w:rPr>
        <w:t>метаболітот</w:t>
      </w:r>
      <w:r>
        <w:rPr>
          <w:szCs w:val="28"/>
        </w:rPr>
        <w:t>ропної</w:t>
      </w:r>
      <w:proofErr w:type="spellEnd"/>
      <w:r>
        <w:rPr>
          <w:szCs w:val="28"/>
        </w:rPr>
        <w:t xml:space="preserve"> терапії з використанням </w:t>
      </w:r>
      <w:proofErr w:type="spellStart"/>
      <w:r>
        <w:rPr>
          <w:szCs w:val="28"/>
        </w:rPr>
        <w:t>К</w:t>
      </w:r>
      <w:r w:rsidRPr="005D2B0F">
        <w:rPr>
          <w:szCs w:val="28"/>
        </w:rPr>
        <w:t>орвітину</w:t>
      </w:r>
      <w:proofErr w:type="spellEnd"/>
      <w:r w:rsidRPr="005D2B0F">
        <w:rPr>
          <w:szCs w:val="28"/>
        </w:rPr>
        <w:t xml:space="preserve"> та </w:t>
      </w:r>
      <w:proofErr w:type="spellStart"/>
      <w:r>
        <w:rPr>
          <w:szCs w:val="28"/>
        </w:rPr>
        <w:t>Т</w:t>
      </w:r>
      <w:r w:rsidRPr="005D2B0F">
        <w:rPr>
          <w:szCs w:val="28"/>
        </w:rPr>
        <w:t>івортіну</w:t>
      </w:r>
      <w:proofErr w:type="spellEnd"/>
      <w:r w:rsidRPr="005D2B0F">
        <w:rPr>
          <w:szCs w:val="28"/>
        </w:rPr>
        <w:t xml:space="preserve"> у </w:t>
      </w:r>
      <w:proofErr w:type="spellStart"/>
      <w:r w:rsidRPr="005D2B0F">
        <w:rPr>
          <w:szCs w:val="28"/>
        </w:rPr>
        <w:t>пацiєнтiв</w:t>
      </w:r>
      <w:proofErr w:type="spellEnd"/>
      <w:r w:rsidRPr="005D2B0F">
        <w:rPr>
          <w:szCs w:val="28"/>
        </w:rPr>
        <w:t xml:space="preserve"> на ГХ ІІ</w:t>
      </w:r>
      <w:r>
        <w:rPr>
          <w:szCs w:val="28"/>
        </w:rPr>
        <w:t xml:space="preserve"> ст. в поєднанні із СІХС </w:t>
      </w:r>
      <w:proofErr w:type="spellStart"/>
      <w:r w:rsidRPr="005D2B0F">
        <w:rPr>
          <w:szCs w:val="28"/>
        </w:rPr>
        <w:t>вiдбулося</w:t>
      </w:r>
      <w:proofErr w:type="spellEnd"/>
      <w:r w:rsidRPr="005D2B0F">
        <w:rPr>
          <w:szCs w:val="28"/>
        </w:rPr>
        <w:t xml:space="preserve"> </w:t>
      </w:r>
      <w:proofErr w:type="spellStart"/>
      <w:r w:rsidRPr="005D2B0F">
        <w:rPr>
          <w:szCs w:val="28"/>
        </w:rPr>
        <w:t>полiпшення</w:t>
      </w:r>
      <w:proofErr w:type="spellEnd"/>
      <w:r w:rsidRPr="005D2B0F">
        <w:rPr>
          <w:szCs w:val="28"/>
        </w:rPr>
        <w:t xml:space="preserve"> вивчених показників </w:t>
      </w:r>
      <w:proofErr w:type="spellStart"/>
      <w:r w:rsidRPr="005D2B0F">
        <w:rPr>
          <w:szCs w:val="28"/>
        </w:rPr>
        <w:t>метаболiчного</w:t>
      </w:r>
      <w:proofErr w:type="spellEnd"/>
      <w:r w:rsidRPr="005D2B0F">
        <w:rPr>
          <w:szCs w:val="28"/>
        </w:rPr>
        <w:t xml:space="preserve"> гомеостазу. </w:t>
      </w:r>
      <w:proofErr w:type="spellStart"/>
      <w:r w:rsidRPr="005D2B0F">
        <w:rPr>
          <w:szCs w:val="28"/>
        </w:rPr>
        <w:t>Бiльш</w:t>
      </w:r>
      <w:proofErr w:type="spellEnd"/>
      <w:r w:rsidRPr="005D2B0F">
        <w:rPr>
          <w:szCs w:val="28"/>
        </w:rPr>
        <w:t xml:space="preserve"> суттєвою </w:t>
      </w:r>
      <w:proofErr w:type="spellStart"/>
      <w:r w:rsidRPr="005D2B0F">
        <w:rPr>
          <w:szCs w:val="28"/>
        </w:rPr>
        <w:t>динамiка</w:t>
      </w:r>
      <w:proofErr w:type="spellEnd"/>
      <w:r w:rsidRPr="005D2B0F">
        <w:rPr>
          <w:szCs w:val="28"/>
        </w:rPr>
        <w:t xml:space="preserve"> </w:t>
      </w:r>
      <w:proofErr w:type="spellStart"/>
      <w:r w:rsidRPr="005D2B0F">
        <w:rPr>
          <w:szCs w:val="28"/>
        </w:rPr>
        <w:t>показникiв</w:t>
      </w:r>
      <w:proofErr w:type="spellEnd"/>
      <w:r w:rsidRPr="005D2B0F">
        <w:rPr>
          <w:szCs w:val="28"/>
        </w:rPr>
        <w:t xml:space="preserve"> є у </w:t>
      </w:r>
      <w:proofErr w:type="spellStart"/>
      <w:r w:rsidRPr="005D2B0F">
        <w:rPr>
          <w:szCs w:val="28"/>
        </w:rPr>
        <w:t>пацiєнтiв</w:t>
      </w:r>
      <w:proofErr w:type="spellEnd"/>
      <w:r w:rsidRPr="005D2B0F">
        <w:rPr>
          <w:szCs w:val="28"/>
        </w:rPr>
        <w:t xml:space="preserve"> </w:t>
      </w:r>
      <w:r>
        <w:rPr>
          <w:szCs w:val="28"/>
        </w:rPr>
        <w:t>на ГХ ІІ ст. в поєднанні із СІХС</w:t>
      </w:r>
      <w:r w:rsidRPr="005D2B0F">
        <w:rPr>
          <w:szCs w:val="28"/>
        </w:rPr>
        <w:t xml:space="preserve"> з генотипом </w:t>
      </w:r>
      <w:proofErr w:type="spellStart"/>
      <w:r w:rsidRPr="005D2B0F">
        <w:rPr>
          <w:szCs w:val="28"/>
        </w:rPr>
        <w:t>Pro</w:t>
      </w:r>
      <w:proofErr w:type="spellEnd"/>
      <w:r w:rsidRPr="005D2B0F">
        <w:rPr>
          <w:szCs w:val="28"/>
        </w:rPr>
        <w:t>/</w:t>
      </w:r>
      <w:proofErr w:type="spellStart"/>
      <w:r w:rsidRPr="005D2B0F">
        <w:rPr>
          <w:szCs w:val="28"/>
        </w:rPr>
        <w:t>Ala</w:t>
      </w:r>
      <w:proofErr w:type="spellEnd"/>
      <w:r w:rsidRPr="005D2B0F">
        <w:rPr>
          <w:szCs w:val="28"/>
        </w:rPr>
        <w:t xml:space="preserve"> гена PPARγ2.</w:t>
      </w:r>
    </w:p>
    <w:p w:rsidR="00BF5A80" w:rsidRPr="00720318" w:rsidRDefault="00BF5A80" w:rsidP="00BF5A8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szCs w:val="28"/>
        </w:rPr>
      </w:pPr>
      <w:r w:rsidRPr="00720318">
        <w:rPr>
          <w:szCs w:val="28"/>
        </w:rPr>
        <w:t xml:space="preserve">Дослідження останніх років переконливо показали важливу роль </w:t>
      </w:r>
      <w:proofErr w:type="spellStart"/>
      <w:r w:rsidRPr="00720318">
        <w:rPr>
          <w:szCs w:val="28"/>
        </w:rPr>
        <w:t>ендотеліальної</w:t>
      </w:r>
      <w:proofErr w:type="spellEnd"/>
      <w:r w:rsidRPr="00720318">
        <w:rPr>
          <w:szCs w:val="28"/>
        </w:rPr>
        <w:t xml:space="preserve"> </w:t>
      </w:r>
      <w:proofErr w:type="spellStart"/>
      <w:r w:rsidRPr="00720318">
        <w:rPr>
          <w:szCs w:val="28"/>
        </w:rPr>
        <w:t>дисфункції</w:t>
      </w:r>
      <w:proofErr w:type="spellEnd"/>
      <w:r w:rsidRPr="00720318">
        <w:rPr>
          <w:szCs w:val="28"/>
        </w:rPr>
        <w:t xml:space="preserve"> (ЕД) в розвитку серцево-судинних захворювань, у тому числі АГ та ІХС [</w:t>
      </w:r>
      <w:r w:rsidRPr="0023197F">
        <w:rPr>
          <w:szCs w:val="28"/>
        </w:rPr>
        <w:t>9, 10, 11, 12</w:t>
      </w:r>
      <w:r>
        <w:rPr>
          <w:szCs w:val="28"/>
        </w:rPr>
        <w:t xml:space="preserve">]. Важливе значення в розвитку </w:t>
      </w:r>
      <w:r>
        <w:rPr>
          <w:rStyle w:val="fontstyle19"/>
          <w:szCs w:val="28"/>
        </w:rPr>
        <w:t>ЕД</w:t>
      </w:r>
      <w:r>
        <w:rPr>
          <w:szCs w:val="28"/>
        </w:rPr>
        <w:t xml:space="preserve"> надається </w:t>
      </w:r>
      <w:proofErr w:type="spellStart"/>
      <w:r>
        <w:rPr>
          <w:szCs w:val="28"/>
        </w:rPr>
        <w:t>оксидантному</w:t>
      </w:r>
      <w:proofErr w:type="spellEnd"/>
      <w:r>
        <w:rPr>
          <w:szCs w:val="28"/>
        </w:rPr>
        <w:t xml:space="preserve"> стресу, так як </w:t>
      </w:r>
      <w:proofErr w:type="spellStart"/>
      <w:r>
        <w:rPr>
          <w:szCs w:val="28"/>
        </w:rPr>
        <w:t>вільнорадикальне</w:t>
      </w:r>
      <w:proofErr w:type="spellEnd"/>
      <w:r>
        <w:rPr>
          <w:szCs w:val="28"/>
        </w:rPr>
        <w:t xml:space="preserve"> окиснення різко знижує продукцію NO </w:t>
      </w:r>
      <w:proofErr w:type="spellStart"/>
      <w:r>
        <w:rPr>
          <w:szCs w:val="28"/>
        </w:rPr>
        <w:t>ендотеліоцитами</w:t>
      </w:r>
      <w:proofErr w:type="spellEnd"/>
      <w:r>
        <w:rPr>
          <w:szCs w:val="28"/>
        </w:rPr>
        <w:t>.</w:t>
      </w:r>
      <w:r>
        <w:rPr>
          <w:szCs w:val="28"/>
          <w:lang w:eastAsia="uk-UA"/>
        </w:rPr>
        <w:t xml:space="preserve">  </w:t>
      </w:r>
    </w:p>
    <w:p w:rsidR="00BF5A80" w:rsidRDefault="00BF5A80" w:rsidP="00BF5A80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szCs w:val="28"/>
        </w:rPr>
      </w:pPr>
      <w:r w:rsidRPr="00822FE7">
        <w:rPr>
          <w:szCs w:val="28"/>
        </w:rPr>
        <w:t>Активація процесів ПОЛ та пригнічення АОЗ у хворих з ГХ та ІХС доведена у багатьох дослідженнях [</w:t>
      </w:r>
      <w:r w:rsidRPr="0023197F">
        <w:rPr>
          <w:szCs w:val="28"/>
        </w:rPr>
        <w:t>13, 14</w:t>
      </w:r>
      <w:r w:rsidRPr="00A64E6D">
        <w:rPr>
          <w:szCs w:val="28"/>
        </w:rPr>
        <w:t>]</w:t>
      </w:r>
      <w:r w:rsidRPr="0080023D">
        <w:rPr>
          <w:szCs w:val="28"/>
        </w:rPr>
        <w:t xml:space="preserve"> </w:t>
      </w:r>
      <w:r>
        <w:rPr>
          <w:szCs w:val="28"/>
        </w:rPr>
        <w:t xml:space="preserve">та  </w:t>
      </w:r>
      <w:r w:rsidRPr="0080023D">
        <w:rPr>
          <w:szCs w:val="28"/>
        </w:rPr>
        <w:t xml:space="preserve">обґрунтовує доцільність призначення антиоксидантів для їх профілактики і терапії. </w:t>
      </w:r>
      <w:r w:rsidRPr="008A0F0F">
        <w:rPr>
          <w:rStyle w:val="a3"/>
          <w:b w:val="0"/>
          <w:szCs w:val="28"/>
        </w:rPr>
        <w:t>Загальновідома антиоксидантна активність</w:t>
      </w:r>
      <w:r w:rsidRPr="0080023D">
        <w:rPr>
          <w:rStyle w:val="a3"/>
          <w:szCs w:val="28"/>
        </w:rPr>
        <w:t xml:space="preserve"> </w:t>
      </w:r>
      <w:proofErr w:type="spellStart"/>
      <w:r w:rsidRPr="0080023D">
        <w:rPr>
          <w:szCs w:val="28"/>
        </w:rPr>
        <w:t>біофлавоноїдів</w:t>
      </w:r>
      <w:proofErr w:type="spellEnd"/>
      <w:r w:rsidRPr="0080023D">
        <w:rPr>
          <w:szCs w:val="28"/>
        </w:rPr>
        <w:t>.</w:t>
      </w:r>
      <w:r w:rsidRPr="0080023D">
        <w:rPr>
          <w:rStyle w:val="a3"/>
          <w:szCs w:val="28"/>
        </w:rPr>
        <w:t xml:space="preserve"> </w:t>
      </w:r>
      <w:r w:rsidRPr="0080023D">
        <w:rPr>
          <w:szCs w:val="28"/>
        </w:rPr>
        <w:t xml:space="preserve">Одним з найбільш потужних антиоксидантів серед </w:t>
      </w:r>
      <w:proofErr w:type="spellStart"/>
      <w:r w:rsidRPr="0080023D">
        <w:rPr>
          <w:szCs w:val="28"/>
        </w:rPr>
        <w:t>біофлавоноїдів</w:t>
      </w:r>
      <w:proofErr w:type="spellEnd"/>
      <w:r w:rsidRPr="0080023D">
        <w:rPr>
          <w:rStyle w:val="a3"/>
          <w:szCs w:val="28"/>
        </w:rPr>
        <w:t xml:space="preserve"> </w:t>
      </w:r>
      <w:r w:rsidRPr="0080023D">
        <w:rPr>
          <w:szCs w:val="28"/>
        </w:rPr>
        <w:t xml:space="preserve">є </w:t>
      </w:r>
      <w:proofErr w:type="spellStart"/>
      <w:r w:rsidRPr="0080023D">
        <w:rPr>
          <w:szCs w:val="28"/>
        </w:rPr>
        <w:t>кверцетин</w:t>
      </w:r>
      <w:proofErr w:type="spellEnd"/>
      <w:r w:rsidRPr="0080023D">
        <w:rPr>
          <w:szCs w:val="28"/>
        </w:rPr>
        <w:t xml:space="preserve"> </w:t>
      </w:r>
      <w:r w:rsidRPr="003942DF">
        <w:rPr>
          <w:szCs w:val="28"/>
        </w:rPr>
        <w:t>[</w:t>
      </w:r>
      <w:r w:rsidRPr="0023197F">
        <w:rPr>
          <w:szCs w:val="28"/>
        </w:rPr>
        <w:t>15</w:t>
      </w:r>
      <w:r w:rsidRPr="00701597">
        <w:rPr>
          <w:szCs w:val="28"/>
        </w:rPr>
        <w:t xml:space="preserve">]. </w:t>
      </w:r>
    </w:p>
    <w:p w:rsidR="00BF5A80" w:rsidRPr="006613D7" w:rsidRDefault="00BF5A80" w:rsidP="00BF5A80">
      <w:pPr>
        <w:spacing w:after="0" w:line="360" w:lineRule="auto"/>
        <w:ind w:firstLine="567"/>
        <w:jc w:val="both"/>
        <w:rPr>
          <w:bCs/>
          <w:kern w:val="36"/>
          <w:szCs w:val="28"/>
        </w:rPr>
      </w:pPr>
      <w:r w:rsidRPr="00701597">
        <w:rPr>
          <w:szCs w:val="28"/>
        </w:rPr>
        <w:t xml:space="preserve">До </w:t>
      </w:r>
      <w:proofErr w:type="spellStart"/>
      <w:r w:rsidRPr="00701597">
        <w:rPr>
          <w:szCs w:val="28"/>
        </w:rPr>
        <w:t>метаболітотропних</w:t>
      </w:r>
      <w:proofErr w:type="spellEnd"/>
      <w:r w:rsidRPr="00701597">
        <w:rPr>
          <w:szCs w:val="28"/>
        </w:rPr>
        <w:t xml:space="preserve"> </w:t>
      </w:r>
      <w:proofErr w:type="spellStart"/>
      <w:r w:rsidRPr="00701597">
        <w:rPr>
          <w:szCs w:val="28"/>
        </w:rPr>
        <w:t>кардіопротекторів</w:t>
      </w:r>
      <w:proofErr w:type="spellEnd"/>
      <w:r w:rsidRPr="00701597">
        <w:rPr>
          <w:szCs w:val="28"/>
        </w:rPr>
        <w:t xml:space="preserve"> можна віднести також L-аргінін - субстрат для синтез</w:t>
      </w:r>
      <w:r>
        <w:rPr>
          <w:szCs w:val="28"/>
        </w:rPr>
        <w:t xml:space="preserve">у NO. </w:t>
      </w:r>
      <w:r w:rsidRPr="00A353A5">
        <w:rPr>
          <w:szCs w:val="28"/>
        </w:rPr>
        <w:t>За нашими даними</w:t>
      </w:r>
      <w:r w:rsidRPr="004266A1">
        <w:rPr>
          <w:szCs w:val="28"/>
        </w:rPr>
        <w:t xml:space="preserve">, </w:t>
      </w:r>
      <w:proofErr w:type="spellStart"/>
      <w:r w:rsidRPr="004266A1">
        <w:rPr>
          <w:szCs w:val="28"/>
        </w:rPr>
        <w:t>метаболітотропна</w:t>
      </w:r>
      <w:proofErr w:type="spellEnd"/>
      <w:r w:rsidRPr="004266A1">
        <w:rPr>
          <w:szCs w:val="28"/>
        </w:rPr>
        <w:t xml:space="preserve"> терапія хворих на ГХ в поєднанні із СІХС з використанням </w:t>
      </w:r>
      <w:proofErr w:type="spellStart"/>
      <w:r w:rsidRPr="004266A1">
        <w:rPr>
          <w:szCs w:val="28"/>
        </w:rPr>
        <w:t>Тівортіну</w:t>
      </w:r>
      <w:proofErr w:type="spellEnd"/>
      <w:r w:rsidRPr="004266A1">
        <w:rPr>
          <w:szCs w:val="28"/>
        </w:rPr>
        <w:t xml:space="preserve"> </w:t>
      </w:r>
      <w:r>
        <w:rPr>
          <w:szCs w:val="28"/>
        </w:rPr>
        <w:t>(</w:t>
      </w:r>
      <w:r w:rsidRPr="00701597">
        <w:rPr>
          <w:szCs w:val="28"/>
        </w:rPr>
        <w:t>L-аргінін</w:t>
      </w:r>
      <w:r>
        <w:rPr>
          <w:szCs w:val="28"/>
        </w:rPr>
        <w:t>)</w:t>
      </w:r>
      <w:r w:rsidRPr="00701597">
        <w:rPr>
          <w:szCs w:val="28"/>
        </w:rPr>
        <w:t xml:space="preserve"> </w:t>
      </w:r>
      <w:r w:rsidRPr="004266A1">
        <w:rPr>
          <w:szCs w:val="28"/>
        </w:rPr>
        <w:t xml:space="preserve">призвело до статистично достовірного  збільшення вмісту </w:t>
      </w:r>
      <w:proofErr w:type="spellStart"/>
      <w:r w:rsidRPr="004266A1">
        <w:rPr>
          <w:szCs w:val="28"/>
        </w:rPr>
        <w:t>ендотеліального</w:t>
      </w:r>
      <w:proofErr w:type="spellEnd"/>
      <w:r w:rsidRPr="004266A1">
        <w:rPr>
          <w:szCs w:val="28"/>
        </w:rPr>
        <w:t xml:space="preserve"> судинного </w:t>
      </w:r>
      <w:proofErr w:type="spellStart"/>
      <w:r w:rsidRPr="004266A1">
        <w:rPr>
          <w:szCs w:val="28"/>
        </w:rPr>
        <w:t>фактора</w:t>
      </w:r>
      <w:proofErr w:type="spellEnd"/>
      <w:r w:rsidRPr="004266A1">
        <w:rPr>
          <w:szCs w:val="28"/>
        </w:rPr>
        <w:t xml:space="preserve"> росту </w:t>
      </w:r>
      <w:r w:rsidRPr="004266A1">
        <w:rPr>
          <w:szCs w:val="28"/>
          <w:lang w:val="en-US"/>
        </w:rPr>
        <w:t>VEGF</w:t>
      </w:r>
      <w:r w:rsidRPr="004266A1">
        <w:rPr>
          <w:szCs w:val="28"/>
        </w:rPr>
        <w:t>-</w:t>
      </w:r>
      <w:r w:rsidRPr="004266A1">
        <w:rPr>
          <w:szCs w:val="28"/>
          <w:lang w:val="en-US"/>
        </w:rPr>
        <w:t>A</w:t>
      </w:r>
      <w:r w:rsidRPr="004266A1">
        <w:rPr>
          <w:szCs w:val="28"/>
        </w:rPr>
        <w:t xml:space="preserve">. </w:t>
      </w:r>
      <w:r w:rsidRPr="004266A1">
        <w:rPr>
          <w:szCs w:val="28"/>
        </w:rPr>
        <w:lastRenderedPageBreak/>
        <w:t xml:space="preserve">Доведено, що NO є тригером зростання і диференціації клітин, що беруть участь в </w:t>
      </w:r>
      <w:proofErr w:type="spellStart"/>
      <w:r w:rsidRPr="004266A1">
        <w:rPr>
          <w:szCs w:val="28"/>
        </w:rPr>
        <w:t>ангіогенезі</w:t>
      </w:r>
      <w:proofErr w:type="spellEnd"/>
      <w:r w:rsidRPr="004266A1">
        <w:rPr>
          <w:szCs w:val="28"/>
        </w:rPr>
        <w:t xml:space="preserve"> за допомогою активації конститутивної NO-</w:t>
      </w:r>
      <w:proofErr w:type="spellStart"/>
      <w:r w:rsidRPr="004266A1">
        <w:rPr>
          <w:szCs w:val="28"/>
        </w:rPr>
        <w:t>синтетази</w:t>
      </w:r>
      <w:proofErr w:type="spellEnd"/>
      <w:r w:rsidRPr="004266A1">
        <w:rPr>
          <w:szCs w:val="28"/>
        </w:rPr>
        <w:t xml:space="preserve">, експресії </w:t>
      </w:r>
      <w:proofErr w:type="spellStart"/>
      <w:r w:rsidRPr="004266A1">
        <w:rPr>
          <w:szCs w:val="28"/>
        </w:rPr>
        <w:t>фактора</w:t>
      </w:r>
      <w:proofErr w:type="spellEnd"/>
      <w:r w:rsidRPr="004266A1">
        <w:rPr>
          <w:szCs w:val="28"/>
        </w:rPr>
        <w:t xml:space="preserve"> росту ендотелію судин</w:t>
      </w:r>
      <w:r>
        <w:rPr>
          <w:szCs w:val="28"/>
        </w:rPr>
        <w:t xml:space="preserve"> </w:t>
      </w:r>
      <w:r w:rsidRPr="004266A1">
        <w:rPr>
          <w:szCs w:val="28"/>
        </w:rPr>
        <w:t>[</w:t>
      </w:r>
      <w:r>
        <w:rPr>
          <w:szCs w:val="28"/>
        </w:rPr>
        <w:t>9</w:t>
      </w:r>
      <w:r w:rsidRPr="004266A1">
        <w:rPr>
          <w:bCs/>
          <w:kern w:val="36"/>
          <w:szCs w:val="28"/>
        </w:rPr>
        <w:t>].</w:t>
      </w:r>
      <w:r w:rsidRPr="004266A1">
        <w:rPr>
          <w:szCs w:val="28"/>
        </w:rPr>
        <w:t xml:space="preserve"> </w:t>
      </w:r>
    </w:p>
    <w:p w:rsidR="00BF5A80" w:rsidRPr="00DF5159" w:rsidRDefault="00BF5A80" w:rsidP="00BF5A80">
      <w:pPr>
        <w:spacing w:after="0"/>
        <w:jc w:val="right"/>
        <w:rPr>
          <w:rFonts w:cs="Times New Roman"/>
          <w:szCs w:val="28"/>
        </w:rPr>
      </w:pPr>
    </w:p>
    <w:p w:rsidR="00BF5A80" w:rsidRDefault="00BF5A80" w:rsidP="00BF5A8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DF5159">
        <w:rPr>
          <w:rFonts w:eastAsia="Times New Roman" w:cs="Times New Roman"/>
          <w:b/>
          <w:szCs w:val="24"/>
          <w:lang w:eastAsia="ru-RU"/>
        </w:rPr>
        <w:t>Висновки</w:t>
      </w:r>
    </w:p>
    <w:p w:rsidR="00BF5A80" w:rsidRPr="00385CAE" w:rsidRDefault="00BF5A80" w:rsidP="00BF5A80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b/>
          <w:szCs w:val="28"/>
        </w:rPr>
      </w:pPr>
      <w:proofErr w:type="spellStart"/>
      <w:r w:rsidRPr="00760509">
        <w:rPr>
          <w:szCs w:val="28"/>
        </w:rPr>
        <w:t>Метаболітотропна</w:t>
      </w:r>
      <w:proofErr w:type="spellEnd"/>
      <w:r w:rsidRPr="00760509">
        <w:rPr>
          <w:szCs w:val="28"/>
        </w:rPr>
        <w:t xml:space="preserve"> терапія </w:t>
      </w:r>
      <w:proofErr w:type="spellStart"/>
      <w:r w:rsidRPr="00760509">
        <w:rPr>
          <w:szCs w:val="28"/>
        </w:rPr>
        <w:t>Корвітином</w:t>
      </w:r>
      <w:proofErr w:type="spellEnd"/>
      <w:r w:rsidRPr="00760509">
        <w:rPr>
          <w:szCs w:val="28"/>
        </w:rPr>
        <w:t xml:space="preserve"> і </w:t>
      </w:r>
      <w:proofErr w:type="spellStart"/>
      <w:r w:rsidRPr="00760509">
        <w:rPr>
          <w:szCs w:val="28"/>
        </w:rPr>
        <w:t>Тівортіном</w:t>
      </w:r>
      <w:proofErr w:type="spellEnd"/>
      <w:r w:rsidRPr="00760509">
        <w:rPr>
          <w:szCs w:val="28"/>
        </w:rPr>
        <w:t xml:space="preserve"> </w:t>
      </w:r>
      <w:r w:rsidRPr="00760509">
        <w:rPr>
          <w:rStyle w:val="shorttext"/>
          <w:szCs w:val="28"/>
        </w:rPr>
        <w:t>справила позитивний вплив</w:t>
      </w:r>
      <w:r w:rsidRPr="00760509">
        <w:rPr>
          <w:szCs w:val="28"/>
        </w:rPr>
        <w:t xml:space="preserve"> на показники вуглеводного і ліпідного обміну, ПОЛ та АОЗ крові у хворих на ГХ ІІ ст. в поєднанні </w:t>
      </w:r>
      <w:r>
        <w:rPr>
          <w:szCs w:val="28"/>
        </w:rPr>
        <w:t>і</w:t>
      </w:r>
      <w:r w:rsidRPr="00760509">
        <w:rPr>
          <w:szCs w:val="28"/>
        </w:rPr>
        <w:t xml:space="preserve">з </w:t>
      </w:r>
      <w:r>
        <w:rPr>
          <w:szCs w:val="28"/>
        </w:rPr>
        <w:t>С</w:t>
      </w:r>
      <w:r w:rsidRPr="00760509">
        <w:rPr>
          <w:szCs w:val="28"/>
        </w:rPr>
        <w:t xml:space="preserve">ІХС. Встановлено достовірне зменшення концентрації глюкози плазми, ІРІ, індексу </w:t>
      </w:r>
      <w:r w:rsidRPr="00760509">
        <w:rPr>
          <w:szCs w:val="28"/>
          <w:lang w:val="en-US"/>
        </w:rPr>
        <w:t>HOMA</w:t>
      </w:r>
      <w:r w:rsidRPr="00760509">
        <w:rPr>
          <w:szCs w:val="28"/>
        </w:rPr>
        <w:t>-</w:t>
      </w:r>
      <w:r w:rsidRPr="00760509">
        <w:rPr>
          <w:szCs w:val="28"/>
          <w:lang w:val="en-US"/>
        </w:rPr>
        <w:t>IR</w:t>
      </w:r>
      <w:r w:rsidRPr="00760509">
        <w:rPr>
          <w:szCs w:val="28"/>
        </w:rPr>
        <w:t>, ЗХС, ХС ЛПНЩ, збільшення вмісту ХС ЛПВЩ,  зменшення концент</w:t>
      </w:r>
      <w:r>
        <w:rPr>
          <w:szCs w:val="28"/>
        </w:rPr>
        <w:t>рації МА плазми та еритроцитів,</w:t>
      </w:r>
      <w:r w:rsidRPr="00760509">
        <w:rPr>
          <w:szCs w:val="28"/>
        </w:rPr>
        <w:t xml:space="preserve"> зростання вмісту ГВ, підвищення активності ГП і КТ. Виявлено достовірне зростання вмісту кінцевих метаболітів </w:t>
      </w:r>
      <w:r w:rsidRPr="00760509">
        <w:rPr>
          <w:szCs w:val="28"/>
          <w:lang w:val="en-US"/>
        </w:rPr>
        <w:t>NO</w:t>
      </w:r>
      <w:r>
        <w:rPr>
          <w:szCs w:val="28"/>
        </w:rPr>
        <w:t xml:space="preserve">, </w:t>
      </w:r>
      <w:r w:rsidRPr="00A77999">
        <w:rPr>
          <w:szCs w:val="28"/>
        </w:rPr>
        <w:t xml:space="preserve">концентрації </w:t>
      </w:r>
      <w:proofErr w:type="spellStart"/>
      <w:r w:rsidRPr="00A77999">
        <w:rPr>
          <w:szCs w:val="28"/>
        </w:rPr>
        <w:t>ендотеліального</w:t>
      </w:r>
      <w:proofErr w:type="spellEnd"/>
      <w:r w:rsidRPr="00A77999">
        <w:rPr>
          <w:szCs w:val="28"/>
        </w:rPr>
        <w:t xml:space="preserve">  судинного </w:t>
      </w:r>
      <w:proofErr w:type="spellStart"/>
      <w:r w:rsidRPr="00A77999">
        <w:rPr>
          <w:szCs w:val="28"/>
        </w:rPr>
        <w:t>фактора</w:t>
      </w:r>
      <w:proofErr w:type="spellEnd"/>
      <w:r w:rsidRPr="00A77999">
        <w:rPr>
          <w:szCs w:val="28"/>
        </w:rPr>
        <w:t xml:space="preserve"> росту людини </w:t>
      </w:r>
      <w:r w:rsidRPr="00A77999">
        <w:rPr>
          <w:szCs w:val="28"/>
          <w:lang w:val="en-US"/>
        </w:rPr>
        <w:t>VEGF</w:t>
      </w:r>
      <w:r w:rsidRPr="00A77999">
        <w:rPr>
          <w:szCs w:val="28"/>
        </w:rPr>
        <w:t>-</w:t>
      </w:r>
      <w:r w:rsidRPr="00A77999">
        <w:rPr>
          <w:szCs w:val="28"/>
          <w:lang w:val="en-US"/>
        </w:rPr>
        <w:t>A</w:t>
      </w:r>
      <w:r>
        <w:rPr>
          <w:szCs w:val="28"/>
        </w:rPr>
        <w:t>.</w:t>
      </w:r>
      <w:r w:rsidRPr="00760509">
        <w:rPr>
          <w:szCs w:val="28"/>
        </w:rPr>
        <w:t xml:space="preserve"> </w:t>
      </w:r>
    </w:p>
    <w:p w:rsidR="00BF5A80" w:rsidRPr="00760509" w:rsidRDefault="00BF5A80" w:rsidP="00BF5A80">
      <w:pPr>
        <w:numPr>
          <w:ilvl w:val="0"/>
          <w:numId w:val="9"/>
        </w:numPr>
        <w:spacing w:after="0" w:line="360" w:lineRule="auto"/>
        <w:ind w:left="0"/>
        <w:contextualSpacing/>
        <w:jc w:val="both"/>
        <w:rPr>
          <w:b/>
          <w:szCs w:val="28"/>
        </w:rPr>
      </w:pPr>
      <w:proofErr w:type="spellStart"/>
      <w:r w:rsidRPr="00877C1D">
        <w:rPr>
          <w:szCs w:val="28"/>
        </w:rPr>
        <w:t>Бiльш</w:t>
      </w:r>
      <w:proofErr w:type="spellEnd"/>
      <w:r w:rsidRPr="00877C1D">
        <w:rPr>
          <w:szCs w:val="28"/>
        </w:rPr>
        <w:t xml:space="preserve"> суттєвою </w:t>
      </w:r>
      <w:proofErr w:type="spellStart"/>
      <w:r w:rsidRPr="00877C1D">
        <w:rPr>
          <w:szCs w:val="28"/>
        </w:rPr>
        <w:t>динамiка</w:t>
      </w:r>
      <w:proofErr w:type="spellEnd"/>
      <w:r w:rsidRPr="00877C1D">
        <w:rPr>
          <w:szCs w:val="28"/>
        </w:rPr>
        <w:t xml:space="preserve"> </w:t>
      </w:r>
      <w:proofErr w:type="spellStart"/>
      <w:r w:rsidRPr="00877C1D">
        <w:rPr>
          <w:szCs w:val="28"/>
        </w:rPr>
        <w:t>показникiв</w:t>
      </w:r>
      <w:proofErr w:type="spellEnd"/>
      <w:r w:rsidRPr="00877C1D">
        <w:rPr>
          <w:szCs w:val="28"/>
        </w:rPr>
        <w:t xml:space="preserve"> </w:t>
      </w:r>
      <w:r>
        <w:rPr>
          <w:szCs w:val="28"/>
        </w:rPr>
        <w:t xml:space="preserve">метаболізму під впливом </w:t>
      </w:r>
      <w:proofErr w:type="spellStart"/>
      <w:r>
        <w:rPr>
          <w:szCs w:val="28"/>
        </w:rPr>
        <w:t>метаболітотропної</w:t>
      </w:r>
      <w:proofErr w:type="spellEnd"/>
      <w:r>
        <w:rPr>
          <w:szCs w:val="28"/>
        </w:rPr>
        <w:t xml:space="preserve"> терапії </w:t>
      </w:r>
      <w:r w:rsidRPr="00877C1D">
        <w:rPr>
          <w:szCs w:val="28"/>
        </w:rPr>
        <w:t xml:space="preserve">є у </w:t>
      </w:r>
      <w:proofErr w:type="spellStart"/>
      <w:r w:rsidRPr="00877C1D">
        <w:rPr>
          <w:szCs w:val="28"/>
        </w:rPr>
        <w:t>пацiєнтiв</w:t>
      </w:r>
      <w:proofErr w:type="spellEnd"/>
      <w:r w:rsidRPr="00877C1D">
        <w:rPr>
          <w:szCs w:val="28"/>
        </w:rPr>
        <w:t xml:space="preserve"> </w:t>
      </w:r>
      <w:r w:rsidRPr="00760509">
        <w:rPr>
          <w:szCs w:val="28"/>
        </w:rPr>
        <w:t xml:space="preserve">на ГХ ІІ ст. в поєднанні </w:t>
      </w:r>
      <w:r>
        <w:rPr>
          <w:szCs w:val="28"/>
        </w:rPr>
        <w:t>і</w:t>
      </w:r>
      <w:r w:rsidRPr="00760509">
        <w:rPr>
          <w:szCs w:val="28"/>
        </w:rPr>
        <w:t xml:space="preserve">з </w:t>
      </w:r>
      <w:r>
        <w:rPr>
          <w:szCs w:val="28"/>
        </w:rPr>
        <w:t>С</w:t>
      </w:r>
      <w:r w:rsidRPr="00760509">
        <w:rPr>
          <w:szCs w:val="28"/>
        </w:rPr>
        <w:t>ІХС</w:t>
      </w:r>
      <w:r w:rsidRPr="00877C1D">
        <w:rPr>
          <w:szCs w:val="28"/>
        </w:rPr>
        <w:t xml:space="preserve"> з генотипом </w:t>
      </w:r>
      <w:proofErr w:type="spellStart"/>
      <w:r w:rsidRPr="00877C1D">
        <w:rPr>
          <w:szCs w:val="28"/>
        </w:rPr>
        <w:t>Pro</w:t>
      </w:r>
      <w:proofErr w:type="spellEnd"/>
      <w:r w:rsidRPr="00877C1D">
        <w:rPr>
          <w:szCs w:val="28"/>
        </w:rPr>
        <w:t>/</w:t>
      </w:r>
      <w:proofErr w:type="spellStart"/>
      <w:r w:rsidRPr="00877C1D">
        <w:rPr>
          <w:szCs w:val="28"/>
        </w:rPr>
        <w:t>Ala</w:t>
      </w:r>
      <w:proofErr w:type="spellEnd"/>
      <w:r w:rsidRPr="00877C1D">
        <w:rPr>
          <w:szCs w:val="28"/>
        </w:rPr>
        <w:t xml:space="preserve"> гена PPARγ2.</w:t>
      </w:r>
    </w:p>
    <w:p w:rsidR="00BF5A80" w:rsidRPr="00A77999" w:rsidRDefault="00BF5A80" w:rsidP="00BF5A80">
      <w:pPr>
        <w:spacing w:after="0" w:line="360" w:lineRule="auto"/>
        <w:ind w:firstLine="567"/>
        <w:contextualSpacing/>
        <w:jc w:val="both"/>
        <w:rPr>
          <w:rFonts w:cs="Times New Roman"/>
        </w:rPr>
      </w:pPr>
      <w:r w:rsidRPr="00B03416">
        <w:rPr>
          <w:rFonts w:cs="Times New Roman"/>
          <w:b/>
        </w:rPr>
        <w:t xml:space="preserve">Перспективи подальших досліджень. </w:t>
      </w:r>
      <w:r w:rsidRPr="00B03416">
        <w:rPr>
          <w:rFonts w:cs="Times New Roman"/>
        </w:rPr>
        <w:t xml:space="preserve">Вивчення у хворих на ГХ </w:t>
      </w:r>
      <w:r>
        <w:rPr>
          <w:rFonts w:cs="Times New Roman"/>
        </w:rPr>
        <w:t>в</w:t>
      </w:r>
      <w:r w:rsidRPr="00B03416">
        <w:rPr>
          <w:rFonts w:cs="Times New Roman"/>
        </w:rPr>
        <w:t xml:space="preserve"> </w:t>
      </w:r>
      <w:r>
        <w:rPr>
          <w:rFonts w:cs="Times New Roman"/>
        </w:rPr>
        <w:t>п</w:t>
      </w:r>
      <w:r w:rsidRPr="00B03416">
        <w:rPr>
          <w:rFonts w:cs="Times New Roman"/>
        </w:rPr>
        <w:t xml:space="preserve">оєднанні </w:t>
      </w:r>
      <w:r>
        <w:rPr>
          <w:rFonts w:cs="Times New Roman"/>
        </w:rPr>
        <w:t>і</w:t>
      </w:r>
      <w:r w:rsidRPr="00B03416">
        <w:rPr>
          <w:rFonts w:cs="Times New Roman"/>
        </w:rPr>
        <w:t xml:space="preserve">з </w:t>
      </w:r>
      <w:r>
        <w:rPr>
          <w:rFonts w:cs="Times New Roman"/>
        </w:rPr>
        <w:t>С</w:t>
      </w:r>
      <w:r w:rsidRPr="00B03416">
        <w:rPr>
          <w:rFonts w:cs="Times New Roman"/>
        </w:rPr>
        <w:t xml:space="preserve">ІХС </w:t>
      </w:r>
      <w:r>
        <w:rPr>
          <w:rFonts w:cs="Times New Roman"/>
        </w:rPr>
        <w:t>е</w:t>
      </w:r>
      <w:r>
        <w:t xml:space="preserve">фективність </w:t>
      </w:r>
      <w:proofErr w:type="spellStart"/>
      <w:r>
        <w:t>метаболітотропної</w:t>
      </w:r>
      <w:proofErr w:type="spellEnd"/>
      <w:r>
        <w:t xml:space="preserve"> терапії в залежності від ступеня гіпертрофії лівого шлуночка</w:t>
      </w:r>
      <w:r>
        <w:rPr>
          <w:rFonts w:cs="Times New Roman"/>
        </w:rPr>
        <w:t>.</w:t>
      </w:r>
    </w:p>
    <w:p w:rsidR="00BF5A80" w:rsidRDefault="00BF5A80" w:rsidP="00BF5A80">
      <w:pPr>
        <w:spacing w:after="0" w:line="360" w:lineRule="auto"/>
        <w:ind w:firstLine="567"/>
        <w:contextualSpacing/>
        <w:rPr>
          <w:rFonts w:eastAsia="TimesNewRomanPSMT" w:cs="Times New Roman"/>
          <w:b/>
          <w:szCs w:val="28"/>
          <w:lang w:eastAsia="zh-CN"/>
        </w:rPr>
      </w:pPr>
      <w:r w:rsidRPr="00B03416">
        <w:rPr>
          <w:rFonts w:eastAsia="TimesNewRomanPSMT" w:cs="Times New Roman"/>
          <w:b/>
          <w:szCs w:val="28"/>
          <w:lang w:eastAsia="zh-CN"/>
        </w:rPr>
        <w:t>Література</w:t>
      </w:r>
      <w:r>
        <w:rPr>
          <w:rFonts w:eastAsia="TimesNewRomanPSMT" w:cs="Times New Roman"/>
          <w:b/>
          <w:szCs w:val="28"/>
          <w:lang w:eastAsia="zh-CN"/>
        </w:rPr>
        <w:t xml:space="preserve"> </w:t>
      </w:r>
    </w:p>
    <w:p w:rsidR="00BF5A80" w:rsidRPr="001C78D1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8D1">
        <w:rPr>
          <w:rFonts w:ascii="Times New Roman" w:hAnsi="Times New Roman" w:cs="Times New Roman"/>
          <w:sz w:val="28"/>
          <w:szCs w:val="28"/>
          <w:lang w:val="uk-UA"/>
        </w:rPr>
        <w:t>Клінічні рекомендації з артеріальної гіпертензії Європейського товариства гіпертензії (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>ESH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t>) та Європейського товариства кардіологів (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>ESC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) 2013 року //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Артериальная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гипертензия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>. – 2013. – № 4 (30). – С. 61–157.</w:t>
      </w:r>
    </w:p>
    <w:p w:rsidR="00BF5A80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78D1">
        <w:rPr>
          <w:rFonts w:ascii="Times New Roman" w:hAnsi="Times New Roman" w:cs="Times New Roman"/>
          <w:sz w:val="28"/>
          <w:szCs w:val="28"/>
          <w:lang w:val="en-US"/>
        </w:rPr>
        <w:t>Epidemiology and Prevention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Quantifying Options for Reducing Coronary Heart Disease Mortality </w:t>
      </w:r>
      <w:proofErr w:type="gramStart"/>
      <w:r w:rsidRPr="001C78D1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2020 / M.D. Huffman, D.M. Lloyd-Jones, H. Ning [et al.] // Circulation. – 2013. – Vol. 127, № 5. – P. 2477-2484.</w:t>
      </w:r>
    </w:p>
    <w:p w:rsidR="00BF5A80" w:rsidRPr="00DF4ED7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Свіщенко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Клініко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демографічні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пацієнтів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уперше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виявленою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артеріальною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гіпертензією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Свіщенко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Міщенко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кардіологічний</w:t>
      </w:r>
      <w:proofErr w:type="spellEnd"/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- 2017. - № 6. – </w:t>
      </w:r>
      <w:r w:rsidRPr="00DF4E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F4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14-23.</w:t>
      </w:r>
    </w:p>
    <w:p w:rsidR="00BF5A80" w:rsidRPr="00596EDB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Целуйко</w:t>
      </w:r>
      <w:proofErr w:type="spellEnd"/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proofErr w:type="spellStart"/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Генетичні</w:t>
      </w:r>
      <w:proofErr w:type="spellEnd"/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аспекти</w:t>
      </w:r>
      <w:proofErr w:type="spellEnd"/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артеріальної</w:t>
      </w:r>
      <w:proofErr w:type="spellEnd"/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гіпертензії</w:t>
      </w:r>
      <w:proofErr w:type="spellEnd"/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хворих</w:t>
      </w:r>
      <w:proofErr w:type="spellEnd"/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ішемічну</w:t>
      </w:r>
      <w:proofErr w:type="spellEnd"/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хворобу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серця</w:t>
      </w:r>
      <w:proofErr w:type="spellEnd"/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/ 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proofErr w:type="spellStart"/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Целуйко</w:t>
      </w:r>
      <w:proofErr w:type="spellEnd"/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Яковлева</w:t>
      </w:r>
      <w:r w:rsidRPr="001C78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// </w:t>
      </w:r>
      <w:r w:rsidRPr="001C78D1">
        <w:rPr>
          <w:rFonts w:ascii="Times New Roman" w:eastAsia="Times New Roman" w:hAnsi="Times New Roman" w:cs="Times New Roman"/>
          <w:kern w:val="36"/>
          <w:sz w:val="28"/>
          <w:szCs w:val="28"/>
        </w:rPr>
        <w:t>Артериальная</w:t>
      </w:r>
      <w:r w:rsidRPr="001C78D1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</w:t>
      </w:r>
      <w:r w:rsidRPr="001C78D1">
        <w:rPr>
          <w:rFonts w:ascii="Times New Roman" w:eastAsia="Times New Roman" w:hAnsi="Times New Roman" w:cs="Times New Roman"/>
          <w:kern w:val="36"/>
          <w:sz w:val="28"/>
          <w:szCs w:val="28"/>
        </w:rPr>
        <w:t>гипертензия</w:t>
      </w:r>
      <w:r w:rsidRPr="001C78D1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. - 2013. - № 5 (31). – </w:t>
      </w:r>
      <w:r w:rsidRPr="001C78D1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Режим </w:t>
      </w:r>
      <w:r w:rsidRPr="00596EDB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доступу</w:t>
      </w:r>
      <w:r w:rsidRPr="00596EDB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: </w:t>
      </w:r>
      <w:hyperlink r:id="rId5" w:history="1">
        <w:r w:rsidRPr="00596EDB">
          <w:rPr>
            <w:rStyle w:val="a5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lang w:val="en-US"/>
          </w:rPr>
          <w:t>http://www.mif-ua.com/archive/article/37263</w:t>
        </w:r>
      </w:hyperlink>
    </w:p>
    <w:p w:rsidR="00BF5A80" w:rsidRPr="001C78D1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Бабак О.Я. Гормональні зміни в жировій тканині хворих на гіпертонічну хворобу й ожиріння / О.Я. Бабак, А.О. Андрєєва //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>. терапевт. журнал. – 2013. - № 1. – С. 63-67.</w:t>
      </w:r>
    </w:p>
    <w:p w:rsidR="00BF5A80" w:rsidRPr="001C78D1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Williams B. Differential impact of blood pressure-lowering drugs on central aortic pressure and clinical outcomes: principal results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the Conduit Artery Function Evaluation (CAFE) study / B. Williams, P.S. Lacy, S.V. Thom // Circulation. – 2006. – V. 113. – P. 1213–1225.</w:t>
      </w:r>
    </w:p>
    <w:p w:rsidR="00BF5A80" w:rsidRPr="001C78D1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C78D1">
        <w:rPr>
          <w:rFonts w:ascii="Times New Roman" w:hAnsi="Times New Roman" w:cs="Times New Roman"/>
          <w:sz w:val="28"/>
          <w:szCs w:val="28"/>
        </w:rPr>
        <w:t>Свіщенко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C78D1">
        <w:rPr>
          <w:rFonts w:ascii="Times New Roman" w:hAnsi="Times New Roman" w:cs="Times New Roman"/>
          <w:sz w:val="28"/>
          <w:szCs w:val="28"/>
        </w:rPr>
        <w:t>Є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C78D1">
        <w:rPr>
          <w:rFonts w:ascii="Times New Roman" w:hAnsi="Times New Roman" w:cs="Times New Roman"/>
          <w:sz w:val="28"/>
          <w:szCs w:val="28"/>
        </w:rPr>
        <w:t>П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нетрадиційних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серцево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судинного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78D1">
        <w:rPr>
          <w:rFonts w:ascii="Times New Roman" w:hAnsi="Times New Roman" w:cs="Times New Roman"/>
          <w:sz w:val="28"/>
          <w:szCs w:val="28"/>
        </w:rPr>
        <w:t>для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78D1">
        <w:rPr>
          <w:rFonts w:ascii="Times New Roman" w:hAnsi="Times New Roman" w:cs="Times New Roman"/>
          <w:sz w:val="28"/>
          <w:szCs w:val="28"/>
        </w:rPr>
        <w:t>і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прогресування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гіпертонічної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1C78D1">
        <w:rPr>
          <w:rFonts w:ascii="Times New Roman" w:hAnsi="Times New Roman" w:cs="Times New Roman"/>
          <w:sz w:val="28"/>
          <w:szCs w:val="28"/>
        </w:rPr>
        <w:t>Є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C78D1">
        <w:rPr>
          <w:rFonts w:ascii="Times New Roman" w:hAnsi="Times New Roman" w:cs="Times New Roman"/>
          <w:sz w:val="28"/>
          <w:szCs w:val="28"/>
        </w:rPr>
        <w:t>П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Свіщенко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78D1">
        <w:rPr>
          <w:rFonts w:ascii="Times New Roman" w:hAnsi="Times New Roman" w:cs="Times New Roman"/>
          <w:sz w:val="28"/>
          <w:szCs w:val="28"/>
        </w:rPr>
        <w:t>Л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C78D1">
        <w:rPr>
          <w:rFonts w:ascii="Times New Roman" w:hAnsi="Times New Roman" w:cs="Times New Roman"/>
          <w:sz w:val="28"/>
          <w:szCs w:val="28"/>
        </w:rPr>
        <w:t>А</w:t>
      </w:r>
      <w:r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Міщенко</w:t>
      </w:r>
      <w:proofErr w:type="spellEnd"/>
      <w:r w:rsidRPr="001C78D1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Укр</w:t>
      </w:r>
      <w:r>
        <w:rPr>
          <w:rFonts w:ascii="Times New Roman" w:hAnsi="Times New Roman" w:cs="Times New Roman"/>
          <w:sz w:val="28"/>
          <w:szCs w:val="28"/>
          <w:lang w:val="uk-UA"/>
        </w:rPr>
        <w:t>аїнський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кардіол</w:t>
      </w:r>
      <w:r>
        <w:rPr>
          <w:rFonts w:ascii="Times New Roman" w:hAnsi="Times New Roman" w:cs="Times New Roman"/>
          <w:sz w:val="28"/>
          <w:szCs w:val="28"/>
          <w:lang w:val="uk-UA"/>
        </w:rPr>
        <w:t>огічний</w:t>
      </w:r>
      <w:proofErr w:type="spellEnd"/>
      <w:r w:rsidRPr="001C78D1">
        <w:rPr>
          <w:rFonts w:ascii="Times New Roman" w:hAnsi="Times New Roman" w:cs="Times New Roman"/>
          <w:sz w:val="28"/>
          <w:szCs w:val="28"/>
        </w:rPr>
        <w:t xml:space="preserve"> ж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урнал</w:t>
      </w:r>
      <w:proofErr w:type="spellEnd"/>
      <w:r w:rsidRPr="001C78D1">
        <w:rPr>
          <w:rFonts w:ascii="Times New Roman" w:hAnsi="Times New Roman" w:cs="Times New Roman"/>
          <w:sz w:val="28"/>
          <w:szCs w:val="28"/>
        </w:rPr>
        <w:t xml:space="preserve">. – 2011,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Дод</w:t>
      </w:r>
      <w:r>
        <w:rPr>
          <w:rFonts w:ascii="Times New Roman" w:hAnsi="Times New Roman" w:cs="Times New Roman"/>
          <w:sz w:val="28"/>
          <w:szCs w:val="28"/>
          <w:lang w:val="uk-UA"/>
        </w:rPr>
        <w:t>аток</w:t>
      </w:r>
      <w:proofErr w:type="spellEnd"/>
      <w:r w:rsidRPr="001C78D1">
        <w:rPr>
          <w:rFonts w:ascii="Times New Roman" w:hAnsi="Times New Roman" w:cs="Times New Roman"/>
          <w:sz w:val="28"/>
          <w:szCs w:val="28"/>
        </w:rPr>
        <w:t xml:space="preserve"> 1. – С. 16–21.</w:t>
      </w:r>
    </w:p>
    <w:p w:rsidR="00BF5A80" w:rsidRPr="00303E11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D6D">
        <w:rPr>
          <w:rFonts w:ascii="Times New Roman" w:hAnsi="Times New Roman" w:cs="Times New Roman"/>
          <w:sz w:val="28"/>
          <w:szCs w:val="28"/>
          <w:lang w:val="uk-UA"/>
        </w:rPr>
        <w:t xml:space="preserve">Метаболічний синдром у пацієнтів з артеріальною гіпертензією та метаболічні ефекти різних </w:t>
      </w:r>
      <w:proofErr w:type="spellStart"/>
      <w:r w:rsidRPr="00514D6D">
        <w:rPr>
          <w:rFonts w:ascii="Times New Roman" w:hAnsi="Times New Roman" w:cs="Times New Roman"/>
          <w:sz w:val="28"/>
          <w:szCs w:val="28"/>
          <w:lang w:val="uk-UA"/>
        </w:rPr>
        <w:t>антигіпертензивних</w:t>
      </w:r>
      <w:proofErr w:type="spellEnd"/>
      <w:r w:rsidRPr="00514D6D">
        <w:rPr>
          <w:rFonts w:ascii="Times New Roman" w:hAnsi="Times New Roman" w:cs="Times New Roman"/>
          <w:sz w:val="28"/>
          <w:szCs w:val="28"/>
          <w:lang w:val="uk-UA"/>
        </w:rPr>
        <w:t xml:space="preserve"> препаратів / Ю.М. Сіренко, О.Л. </w:t>
      </w:r>
      <w:proofErr w:type="spellStart"/>
      <w:r w:rsidRPr="00514D6D">
        <w:rPr>
          <w:rFonts w:ascii="Times New Roman" w:hAnsi="Times New Roman" w:cs="Times New Roman"/>
          <w:sz w:val="28"/>
          <w:szCs w:val="28"/>
          <w:lang w:val="uk-UA"/>
        </w:rPr>
        <w:t>Рековець</w:t>
      </w:r>
      <w:proofErr w:type="spellEnd"/>
      <w:r w:rsidRPr="00514D6D">
        <w:rPr>
          <w:rFonts w:ascii="Times New Roman" w:hAnsi="Times New Roman" w:cs="Times New Roman"/>
          <w:sz w:val="28"/>
          <w:szCs w:val="28"/>
          <w:lang w:val="uk-UA"/>
        </w:rPr>
        <w:t xml:space="preserve">, С.Ю. Савицький, Є.А. Павлюк // </w:t>
      </w:r>
      <w:proofErr w:type="spellStart"/>
      <w:r w:rsidRPr="00514D6D">
        <w:rPr>
          <w:rFonts w:ascii="Times New Roman" w:hAnsi="Times New Roman" w:cs="Times New Roman"/>
          <w:sz w:val="28"/>
          <w:szCs w:val="28"/>
          <w:lang w:val="uk-UA"/>
        </w:rPr>
        <w:t>Артериальная</w:t>
      </w:r>
      <w:proofErr w:type="spellEnd"/>
      <w:r w:rsidRPr="00514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4D6D">
        <w:rPr>
          <w:rFonts w:ascii="Times New Roman" w:hAnsi="Times New Roman" w:cs="Times New Roman"/>
          <w:sz w:val="28"/>
          <w:szCs w:val="28"/>
          <w:lang w:val="uk-UA"/>
        </w:rPr>
        <w:t>гипертензия</w:t>
      </w:r>
      <w:proofErr w:type="spellEnd"/>
      <w:r w:rsidRPr="00514D6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14D6D">
        <w:rPr>
          <w:rFonts w:ascii="Times New Roman" w:hAnsi="Times New Roman" w:cs="Times New Roman"/>
          <w:sz w:val="28"/>
          <w:szCs w:val="28"/>
          <w:lang w:val="uk-UA"/>
        </w:rPr>
        <w:t xml:space="preserve"> 2010.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14D6D">
        <w:rPr>
          <w:rFonts w:ascii="Times New Roman" w:hAnsi="Times New Roman" w:cs="Times New Roman"/>
          <w:sz w:val="28"/>
          <w:szCs w:val="28"/>
          <w:lang w:val="uk-UA"/>
        </w:rPr>
        <w:t xml:space="preserve"> № 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14D6D">
        <w:rPr>
          <w:rFonts w:ascii="Times New Roman" w:hAnsi="Times New Roman" w:cs="Times New Roman"/>
          <w:sz w:val="28"/>
          <w:szCs w:val="28"/>
          <w:lang w:val="uk-UA"/>
        </w:rPr>
        <w:t>С. 42-56.</w:t>
      </w:r>
    </w:p>
    <w:p w:rsidR="00BF5A80" w:rsidRPr="001C78D1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78D1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Возможности повышения эффективности </w:t>
      </w:r>
      <w:proofErr w:type="spellStart"/>
      <w:r w:rsidRPr="001C78D1">
        <w:rPr>
          <w:rFonts w:ascii="Times New Roman" w:hAnsi="Times New Roman" w:cs="Times New Roman"/>
          <w:bCs/>
          <w:kern w:val="36"/>
          <w:sz w:val="28"/>
          <w:szCs w:val="28"/>
        </w:rPr>
        <w:t>антигипертензивной</w:t>
      </w:r>
      <w:proofErr w:type="spellEnd"/>
      <w:r w:rsidRPr="001C78D1">
        <w:rPr>
          <w:rFonts w:ascii="Times New Roman" w:hAnsi="Times New Roman" w:cs="Times New Roman"/>
          <w:bCs/>
          <w:kern w:val="36"/>
          <w:sz w:val="28"/>
          <w:szCs w:val="28"/>
        </w:rPr>
        <w:t xml:space="preserve"> терапии: роль донаторов оксида азота</w:t>
      </w:r>
      <w:r w:rsidRPr="001C78D1">
        <w:rPr>
          <w:rFonts w:ascii="Times New Roman" w:hAnsi="Times New Roman" w:cs="Times New Roman"/>
          <w:bCs/>
          <w:kern w:val="36"/>
          <w:sz w:val="28"/>
          <w:szCs w:val="28"/>
          <w:lang w:val="uk-UA"/>
        </w:rPr>
        <w:t xml:space="preserve"> / </w:t>
      </w:r>
      <w:r w:rsidRPr="001C78D1">
        <w:rPr>
          <w:rFonts w:ascii="Times New Roman" w:hAnsi="Times New Roman" w:cs="Times New Roman"/>
          <w:sz w:val="28"/>
          <w:szCs w:val="28"/>
        </w:rPr>
        <w:t xml:space="preserve">В.Ю. Жаринова, Е.И. Парасюк, И.А. </w:t>
      </w:r>
      <w:proofErr w:type="spellStart"/>
      <w:r w:rsidRPr="001C78D1">
        <w:rPr>
          <w:rFonts w:ascii="Times New Roman" w:hAnsi="Times New Roman" w:cs="Times New Roman"/>
          <w:sz w:val="28"/>
          <w:szCs w:val="28"/>
        </w:rPr>
        <w:t>Самоць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Н.Н.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Бенковская</w:t>
      </w:r>
      <w:proofErr w:type="spellEnd"/>
      <w:r w:rsidRPr="001C78D1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1C78D1">
        <w:rPr>
          <w:rFonts w:ascii="Times New Roman" w:hAnsi="Times New Roman" w:cs="Times New Roman"/>
          <w:bCs/>
          <w:kern w:val="36"/>
          <w:sz w:val="28"/>
          <w:szCs w:val="28"/>
          <w:lang w:val="uk-UA"/>
        </w:rPr>
        <w:t xml:space="preserve">// </w:t>
      </w:r>
      <w:proofErr w:type="spellStart"/>
      <w:r w:rsidRPr="001C78D1">
        <w:rPr>
          <w:rFonts w:ascii="Times New Roman" w:hAnsi="Times New Roman" w:cs="Times New Roman"/>
          <w:bCs/>
          <w:kern w:val="36"/>
          <w:sz w:val="28"/>
          <w:szCs w:val="28"/>
          <w:lang w:val="uk-UA"/>
        </w:rPr>
        <w:t>Здоров</w:t>
      </w:r>
      <w:proofErr w:type="spellEnd"/>
      <w:r w:rsidRPr="001C78D1">
        <w:rPr>
          <w:rFonts w:ascii="Times New Roman" w:hAnsi="Times New Roman" w:cs="Times New Roman"/>
          <w:bCs/>
          <w:kern w:val="36"/>
          <w:sz w:val="28"/>
          <w:szCs w:val="28"/>
        </w:rPr>
        <w:t>’</w:t>
      </w:r>
      <w:r w:rsidRPr="001C78D1">
        <w:rPr>
          <w:rFonts w:ascii="Times New Roman" w:hAnsi="Times New Roman" w:cs="Times New Roman"/>
          <w:bCs/>
          <w:kern w:val="36"/>
          <w:sz w:val="28"/>
          <w:szCs w:val="28"/>
          <w:lang w:val="uk-UA"/>
        </w:rPr>
        <w:t>я України. – 2016. - №1 (44). - С. 45-46.</w:t>
      </w:r>
      <w:r w:rsidRPr="001C78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5A80" w:rsidRPr="001C78D1" w:rsidRDefault="00596EDB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BF5A80" w:rsidRPr="001C78D1">
          <w:rPr>
            <w:rFonts w:ascii="Times New Roman" w:hAnsi="Times New Roman" w:cs="Times New Roman"/>
            <w:sz w:val="28"/>
            <w:szCs w:val="28"/>
            <w:lang w:val="en-US"/>
          </w:rPr>
          <w:t>Jensen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en-US"/>
          </w:rPr>
          <w:t>H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uk-UA"/>
          </w:rPr>
          <w:t xml:space="preserve">. 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en-US"/>
          </w:rPr>
          <w:t>Endothelial cell dysfunction as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en-US"/>
          </w:rPr>
          <w:t>novel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en-US"/>
          </w:rPr>
          <w:t>therapeutic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en-US"/>
          </w:rPr>
          <w:t>target in 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1C78D1">
          <w:rPr>
            <w:rFonts w:ascii="Times New Roman" w:hAnsi="Times New Roman" w:cs="Times New Roman"/>
            <w:sz w:val="28"/>
            <w:szCs w:val="28"/>
            <w:lang w:val="en-US"/>
          </w:rPr>
          <w:t>atherosclerosis</w:t>
        </w:r>
      </w:hyperlink>
      <w:r w:rsidR="00BF5A80"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 / </w:t>
      </w:r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F5A80" w:rsidRPr="001C78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F5A80"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>Jensen</w:t>
      </w:r>
      <w:r w:rsidR="00BF5A80"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BF5A80" w:rsidRPr="001C78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F5A80"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>Mehta</w:t>
      </w:r>
      <w:r w:rsidR="00BF5A80"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>Exp</w:t>
      </w:r>
      <w:proofErr w:type="spellEnd"/>
      <w:r w:rsidR="00BF5A80"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Rev. </w:t>
      </w:r>
      <w:proofErr w:type="spellStart"/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>Cardiovasc</w:t>
      </w:r>
      <w:proofErr w:type="spellEnd"/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>Ther</w:t>
      </w:r>
      <w:proofErr w:type="spellEnd"/>
      <w:r w:rsidR="00BF5A80" w:rsidRPr="001C78D1">
        <w:rPr>
          <w:rFonts w:ascii="Times New Roman" w:hAnsi="Times New Roman" w:cs="Times New Roman"/>
          <w:sz w:val="28"/>
          <w:szCs w:val="28"/>
          <w:lang w:val="en-US"/>
        </w:rPr>
        <w:t>. - 2016. - Vol. 14 (9). - P. 1021-1033. </w:t>
      </w:r>
    </w:p>
    <w:p w:rsidR="00BF5A80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>Rajapakse</w:t>
      </w:r>
      <w:proofErr w:type="spellEnd"/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</w:t>
      </w:r>
      <w:r w:rsidRPr="00666A2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>W.</w:t>
      </w:r>
      <w:r w:rsidRPr="00666A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66A29">
        <w:rPr>
          <w:rFonts w:ascii="Times New Roman" w:hAnsi="Times New Roman" w:cs="Times New Roman"/>
          <w:kern w:val="36"/>
          <w:sz w:val="28"/>
          <w:szCs w:val="28"/>
          <w:lang w:val="en-US"/>
        </w:rPr>
        <w:t>Say NO to Obesity-Related Hypertension</w:t>
      </w:r>
      <w:r w:rsidRPr="00666A29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 </w:t>
      </w:r>
      <w:r w:rsidRPr="00666A29">
        <w:rPr>
          <w:rFonts w:ascii="Times New Roman" w:hAnsi="Times New Roman" w:cs="Times New Roman"/>
          <w:sz w:val="28"/>
          <w:szCs w:val="28"/>
          <w:lang w:val="en-US"/>
        </w:rPr>
        <w:t>Role of the </w:t>
      </w:r>
      <w:r w:rsidRPr="00666A29">
        <w:rPr>
          <w:rFonts w:ascii="Times New Roman" w:hAnsi="Times New Roman" w:cs="Times New Roman"/>
          <w:smallCaps/>
          <w:sz w:val="28"/>
          <w:szCs w:val="28"/>
          <w:lang w:val="en-US"/>
        </w:rPr>
        <w:t>l</w:t>
      </w:r>
      <w:r w:rsidRPr="00666A29">
        <w:rPr>
          <w:rFonts w:ascii="Times New Roman" w:hAnsi="Times New Roman" w:cs="Times New Roman"/>
          <w:sz w:val="28"/>
          <w:szCs w:val="28"/>
          <w:lang w:val="en-US"/>
        </w:rPr>
        <w:t>-Arginine–Nitric Oxide Pathway</w:t>
      </w:r>
      <w:r w:rsidRPr="00666A29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666A2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>W.</w:t>
      </w:r>
      <w:r w:rsidRPr="00666A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>Rajapakse</w:t>
      </w:r>
      <w:proofErr w:type="spellEnd"/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>, G</w:t>
      </w:r>
      <w:r w:rsidRPr="00666A2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>A.</w:t>
      </w:r>
      <w:r w:rsidRPr="00666A29">
        <w:rPr>
          <w:rFonts w:ascii="Times New Roman" w:hAnsi="Times New Roman" w:cs="Times New Roman"/>
          <w:sz w:val="28"/>
          <w:szCs w:val="28"/>
          <w:lang w:val="en-US"/>
        </w:rPr>
        <w:t xml:space="preserve"> Head</w:t>
      </w:r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>, D</w:t>
      </w:r>
      <w:r w:rsidRPr="00666A2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>M.</w:t>
      </w:r>
      <w:r w:rsidRPr="00666A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66A29">
        <w:rPr>
          <w:rFonts w:ascii="Times New Roman" w:hAnsi="Times New Roman" w:cs="Times New Roman"/>
          <w:sz w:val="28"/>
          <w:szCs w:val="28"/>
          <w:lang w:val="en-US"/>
        </w:rPr>
        <w:t>Kaye</w:t>
      </w:r>
      <w:r w:rsidRPr="00666A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66A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// </w:t>
      </w:r>
      <w:r w:rsidRPr="00666A29">
        <w:rPr>
          <w:rFonts w:ascii="Times New Roman" w:hAnsi="Times New Roman" w:cs="Times New Roman"/>
          <w:sz w:val="28"/>
          <w:szCs w:val="28"/>
          <w:lang w:val="en-US"/>
        </w:rPr>
        <w:t>Hypertension</w:t>
      </w:r>
      <w:r w:rsidRPr="00666A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66A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6A29">
        <w:rPr>
          <w:rFonts w:ascii="Times New Roman" w:hAnsi="Times New Roman" w:cs="Times New Roman"/>
          <w:sz w:val="28"/>
          <w:szCs w:val="28"/>
          <w:lang w:val="uk-UA"/>
        </w:rPr>
        <w:t xml:space="preserve">– 2016. – </w:t>
      </w:r>
      <w:r w:rsidRPr="00666A29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666A29">
        <w:rPr>
          <w:rFonts w:ascii="Times New Roman" w:hAnsi="Times New Roman" w:cs="Times New Roman"/>
          <w:sz w:val="28"/>
          <w:szCs w:val="28"/>
          <w:lang w:val="uk-UA"/>
        </w:rPr>
        <w:t>. 67 (5). –</w:t>
      </w:r>
      <w:r w:rsidRPr="00666A29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  <w:r w:rsidRPr="00666A29">
        <w:rPr>
          <w:rFonts w:ascii="Times New Roman" w:hAnsi="Times New Roman" w:cs="Times New Roman"/>
          <w:sz w:val="28"/>
          <w:szCs w:val="28"/>
          <w:lang w:val="uk-UA"/>
        </w:rPr>
        <w:t xml:space="preserve"> 813-819</w:t>
      </w:r>
      <w:r w:rsidRPr="00666A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F5A80" w:rsidRPr="00666A29" w:rsidRDefault="00596EDB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BF5A80" w:rsidRPr="00666A29">
          <w:rPr>
            <w:rFonts w:ascii="Times New Roman" w:hAnsi="Times New Roman" w:cs="Times New Roman"/>
            <w:bCs/>
            <w:sz w:val="28"/>
            <w:szCs w:val="28"/>
            <w:lang w:val="en-US"/>
          </w:rPr>
          <w:t>Secondary Prevention Strategy of Cardiovascular</w:t>
        </w:r>
        <w:r w:rsidR="00BF5A80" w:rsidRPr="00666A29">
          <w:rPr>
            <w:rFonts w:ascii="Times New Roman" w:hAnsi="Times New Roman" w:cs="Times New Roman"/>
            <w:bCs/>
            <w:sz w:val="28"/>
            <w:szCs w:val="28"/>
            <w:lang w:val="uk-UA"/>
          </w:rPr>
          <w:t xml:space="preserve"> </w:t>
        </w:r>
        <w:r w:rsidR="00BF5A80" w:rsidRPr="00666A29">
          <w:rPr>
            <w:rFonts w:ascii="Times New Roman" w:hAnsi="Times New Roman" w:cs="Times New Roman"/>
            <w:bCs/>
            <w:sz w:val="28"/>
            <w:szCs w:val="28"/>
            <w:lang w:val="en-US"/>
          </w:rPr>
          <w:t>Disease  Using  Endothelial  Function Testing</w:t>
        </w:r>
      </w:hyperlink>
      <w:r w:rsidR="00BF5A80" w:rsidRPr="00666A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 </w:t>
      </w:r>
      <w:r w:rsidR="00BF5A80" w:rsidRPr="00666A29">
        <w:rPr>
          <w:rFonts w:ascii="Times New Roman" w:hAnsi="Times New Roman" w:cs="Times New Roman"/>
          <w:sz w:val="28"/>
          <w:szCs w:val="28"/>
          <w:lang w:val="en-US"/>
        </w:rPr>
        <w:t>Y. Matsuzawa</w:t>
      </w:r>
      <w:r w:rsidR="00BF5A80" w:rsidRPr="00666A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5A80" w:rsidRPr="00666A29">
        <w:rPr>
          <w:rFonts w:ascii="Times New Roman" w:hAnsi="Times New Roman" w:cs="Times New Roman"/>
          <w:sz w:val="28"/>
          <w:szCs w:val="28"/>
          <w:lang w:val="en-US"/>
        </w:rPr>
        <w:t xml:space="preserve"> R.R. </w:t>
      </w:r>
      <w:proofErr w:type="spellStart"/>
      <w:r w:rsidR="00BF5A80" w:rsidRPr="00666A29">
        <w:rPr>
          <w:rFonts w:ascii="Times New Roman" w:hAnsi="Times New Roman" w:cs="Times New Roman"/>
          <w:sz w:val="28"/>
          <w:szCs w:val="28"/>
          <w:lang w:val="en-US"/>
        </w:rPr>
        <w:t>Guddeti</w:t>
      </w:r>
      <w:proofErr w:type="spellEnd"/>
      <w:r w:rsidR="00BF5A80" w:rsidRPr="00666A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5A80" w:rsidRPr="00666A29">
        <w:rPr>
          <w:rFonts w:ascii="Times New Roman" w:hAnsi="Times New Roman" w:cs="Times New Roman"/>
          <w:sz w:val="28"/>
          <w:szCs w:val="28"/>
          <w:lang w:val="en-US"/>
        </w:rPr>
        <w:t xml:space="preserve"> T-G. Kwon [et al.] // </w:t>
      </w:r>
      <w:hyperlink r:id="rId8" w:tooltip="Просмотреть информацию о журнале" w:history="1">
        <w:r w:rsidR="00BF5A80" w:rsidRPr="00666A29">
          <w:rPr>
            <w:rFonts w:ascii="Times New Roman" w:hAnsi="Times New Roman" w:cs="Times New Roman"/>
            <w:sz w:val="28"/>
            <w:szCs w:val="28"/>
            <w:lang w:val="en-US"/>
          </w:rPr>
          <w:t>Circ. J. – </w:t>
        </w:r>
      </w:hyperlink>
      <w:r w:rsidR="00BF5A80" w:rsidRPr="00666A29">
        <w:rPr>
          <w:rFonts w:ascii="Times New Roman" w:hAnsi="Times New Roman" w:cs="Times New Roman"/>
          <w:sz w:val="28"/>
          <w:szCs w:val="28"/>
          <w:lang w:val="en-US"/>
        </w:rPr>
        <w:t>2015. – Vol. 79 (4). – P. 685-694.</w:t>
      </w:r>
    </w:p>
    <w:p w:rsidR="00BF5A80" w:rsidRPr="001C78D1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прооксидантно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-антиоксидантного гомеостазу та вміст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монооксиду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нітрогену у крові хворих на гіпертонічну хворобу в поєднанні з ішемічною хворобою 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серця / С.В. Білецький, Л.Ю. Ковальчук, О.А.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Петринич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[та ін.] // Бук</w:t>
      </w:r>
      <w:r>
        <w:rPr>
          <w:rFonts w:ascii="Times New Roman" w:hAnsi="Times New Roman" w:cs="Times New Roman"/>
          <w:sz w:val="28"/>
          <w:szCs w:val="28"/>
          <w:lang w:val="uk-UA"/>
        </w:rPr>
        <w:t>овинський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мед</w:t>
      </w:r>
      <w:r>
        <w:rPr>
          <w:rFonts w:ascii="Times New Roman" w:hAnsi="Times New Roman" w:cs="Times New Roman"/>
          <w:sz w:val="28"/>
          <w:szCs w:val="28"/>
          <w:lang w:val="uk-UA"/>
        </w:rPr>
        <w:t>ичний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вісник. - 2013.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№ 3 (67), ч. 2. - С. 125-128.  </w:t>
      </w:r>
    </w:p>
    <w:p w:rsidR="00BF5A80" w:rsidRPr="00A676CD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Бойко В.В. Показники ліпідного обміну,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оксидантно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-антиоксидантного  гомеостазу, вміст кінцевих метаболітів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монооксиду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нітрогену крові у хворих на гіпертонічну хворобу,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коморбідну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з  ішемічною хворобою серця та цукровим діабетом 2-го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1C78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t>В.В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Бойко, С.В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66A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Білецький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 w:rsidRPr="00666A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Буковинський медичний вісник. – 2017. - № 2 (82), ч. 2.  </w:t>
      </w:r>
      <w:r w:rsidRPr="00A676CD">
        <w:rPr>
          <w:rFonts w:ascii="Times New Roman" w:eastAsia="Calibri" w:hAnsi="Times New Roman" w:cs="Times New Roman"/>
          <w:sz w:val="28"/>
          <w:szCs w:val="28"/>
          <w:lang w:val="uk-UA"/>
        </w:rPr>
        <w:t>- С. 12-15</w:t>
      </w:r>
      <w:r w:rsidRPr="001C78D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F5A80" w:rsidRPr="00BC43B8" w:rsidRDefault="00BF5A80" w:rsidP="00BF5A80">
      <w:pPr>
        <w:pStyle w:val="aa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Про- та антиоксидантна системи і патологічні процеси в організмі людини / О.Г.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Резніков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, О.М.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Полумбрик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, Я.Г.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Бальон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43B8">
        <w:rPr>
          <w:rStyle w:val="a9"/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Style w:val="a9"/>
          <w:rFonts w:ascii="Times New Roman" w:hAnsi="Times New Roman" w:cs="Times New Roman"/>
          <w:sz w:val="28"/>
          <w:szCs w:val="28"/>
          <w:lang w:val="uk-UA"/>
        </w:rPr>
        <w:t>О.</w:t>
      </w:r>
      <w:r w:rsidRPr="00BC43B8">
        <w:rPr>
          <w:rStyle w:val="st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C43B8">
        <w:rPr>
          <w:rStyle w:val="a9"/>
          <w:rFonts w:ascii="Times New Roman" w:hAnsi="Times New Roman" w:cs="Times New Roman"/>
          <w:sz w:val="28"/>
          <w:szCs w:val="28"/>
          <w:lang w:val="uk-UA"/>
        </w:rPr>
        <w:t>Полумбрик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1C78D1"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 w:rsidRPr="001C78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C43B8">
        <w:rPr>
          <w:rFonts w:ascii="Times New Roman" w:hAnsi="Times New Roman" w:cs="Times New Roman"/>
          <w:sz w:val="28"/>
          <w:szCs w:val="28"/>
          <w:lang w:val="uk-UA"/>
        </w:rPr>
        <w:t xml:space="preserve">НАН України. – 2014. - № 10. – С. 17-29.  </w:t>
      </w:r>
    </w:p>
    <w:p w:rsidR="00BF5A80" w:rsidRPr="00BC43B8" w:rsidRDefault="00BF5A80" w:rsidP="00BF5A80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5A80" w:rsidRPr="00FB2966" w:rsidRDefault="00BF5A80" w:rsidP="00BF5A80">
      <w:pPr>
        <w:shd w:val="clear" w:color="auto" w:fill="FFFFFF"/>
        <w:spacing w:after="0"/>
        <w:jc w:val="center"/>
        <w:rPr>
          <w:rFonts w:eastAsia="Times New Roman" w:cs="Times New Roman"/>
          <w:b/>
          <w:color w:val="222222"/>
          <w:szCs w:val="28"/>
          <w:lang w:eastAsia="ru-RU"/>
        </w:rPr>
      </w:pPr>
      <w:r>
        <w:rPr>
          <w:rFonts w:eastAsia="Times New Roman" w:cs="Times New Roman"/>
          <w:b/>
          <w:color w:val="222222"/>
          <w:szCs w:val="28"/>
          <w:lang w:eastAsia="ru-RU"/>
        </w:rPr>
        <w:t>МЕТАБОЛИ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>ТОТРОПНА</w:t>
      </w:r>
      <w:r>
        <w:rPr>
          <w:rFonts w:eastAsia="Times New Roman" w:cs="Times New Roman"/>
          <w:b/>
          <w:color w:val="222222"/>
          <w:szCs w:val="28"/>
          <w:lang w:eastAsia="ru-RU"/>
        </w:rPr>
        <w:t>Я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 xml:space="preserve"> ТЕРАП</w:t>
      </w:r>
      <w:r>
        <w:rPr>
          <w:rFonts w:eastAsia="Times New Roman" w:cs="Times New Roman"/>
          <w:b/>
          <w:color w:val="222222"/>
          <w:szCs w:val="28"/>
          <w:lang w:eastAsia="ru-RU"/>
        </w:rPr>
        <w:t>И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>Я В Л</w:t>
      </w:r>
      <w:r>
        <w:rPr>
          <w:rFonts w:eastAsia="Times New Roman" w:cs="Times New Roman"/>
          <w:b/>
          <w:color w:val="222222"/>
          <w:szCs w:val="28"/>
          <w:lang w:eastAsia="ru-RU"/>
        </w:rPr>
        <w:t>ЕЧЕНИИ БОЛЬН</w:t>
      </w:r>
      <w:r>
        <w:rPr>
          <w:rFonts w:eastAsia="Times New Roman" w:cs="Times New Roman"/>
          <w:b/>
          <w:color w:val="222222"/>
          <w:szCs w:val="28"/>
          <w:lang w:val="ru-RU" w:eastAsia="ru-RU"/>
        </w:rPr>
        <w:t>Ы</w:t>
      </w:r>
      <w:r>
        <w:rPr>
          <w:rFonts w:eastAsia="Times New Roman" w:cs="Times New Roman"/>
          <w:b/>
          <w:color w:val="222222"/>
          <w:szCs w:val="28"/>
          <w:lang w:eastAsia="ru-RU"/>
        </w:rPr>
        <w:t>Х ГИПЕРТОНИЧЕСКОЙ БОЛЕЗНЬЮ ІІ СТАДИИ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 xml:space="preserve"> В</w:t>
      </w:r>
      <w:r w:rsidRPr="002F13E0">
        <w:rPr>
          <w:rFonts w:eastAsia="Times New Roman" w:cs="Times New Roman"/>
          <w:b/>
          <w:color w:val="222222"/>
          <w:szCs w:val="28"/>
          <w:lang w:val="en-US" w:eastAsia="ru-RU"/>
        </w:rPr>
        <w:t> </w:t>
      </w:r>
      <w:r>
        <w:rPr>
          <w:rFonts w:eastAsia="Times New Roman" w:cs="Times New Roman"/>
          <w:b/>
          <w:color w:val="222222"/>
          <w:szCs w:val="28"/>
          <w:lang w:eastAsia="ru-RU"/>
        </w:rPr>
        <w:t>СОЧЕТАНИИ С</w:t>
      </w:r>
      <w:r>
        <w:rPr>
          <w:rFonts w:eastAsia="Times New Roman" w:cs="Times New Roman"/>
          <w:b/>
          <w:color w:val="222222"/>
          <w:szCs w:val="28"/>
          <w:lang w:val="ru-RU" w:eastAsia="ru-RU"/>
        </w:rPr>
        <w:t>О</w:t>
      </w:r>
      <w:r>
        <w:rPr>
          <w:rFonts w:eastAsia="Times New Roman" w:cs="Times New Roman"/>
          <w:b/>
          <w:color w:val="222222"/>
          <w:szCs w:val="28"/>
          <w:lang w:eastAsia="ru-RU"/>
        </w:rPr>
        <w:t xml:space="preserve"> 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>СТАБ</w:t>
      </w:r>
      <w:r>
        <w:rPr>
          <w:rFonts w:eastAsia="Times New Roman" w:cs="Times New Roman"/>
          <w:b/>
          <w:color w:val="222222"/>
          <w:szCs w:val="28"/>
          <w:lang w:eastAsia="ru-RU"/>
        </w:rPr>
        <w:t>И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>ЛЬНО</w:t>
      </w:r>
      <w:r>
        <w:rPr>
          <w:rFonts w:eastAsia="Times New Roman" w:cs="Times New Roman"/>
          <w:b/>
          <w:color w:val="222222"/>
          <w:szCs w:val="28"/>
          <w:lang w:eastAsia="ru-RU"/>
        </w:rPr>
        <w:t>Й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 xml:space="preserve"> </w:t>
      </w:r>
      <w:r>
        <w:rPr>
          <w:rFonts w:eastAsia="Times New Roman" w:cs="Times New Roman"/>
          <w:b/>
          <w:color w:val="222222"/>
          <w:szCs w:val="28"/>
          <w:lang w:eastAsia="ru-RU"/>
        </w:rPr>
        <w:t>И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>ШЕМ</w:t>
      </w:r>
      <w:r>
        <w:rPr>
          <w:rFonts w:eastAsia="Times New Roman" w:cs="Times New Roman"/>
          <w:b/>
          <w:color w:val="222222"/>
          <w:szCs w:val="28"/>
          <w:lang w:eastAsia="ru-RU"/>
        </w:rPr>
        <w:t>И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>Ч</w:t>
      </w:r>
      <w:r>
        <w:rPr>
          <w:rFonts w:eastAsia="Times New Roman" w:cs="Times New Roman"/>
          <w:b/>
          <w:color w:val="222222"/>
          <w:szCs w:val="28"/>
          <w:lang w:eastAsia="ru-RU"/>
        </w:rPr>
        <w:t>ЕСКОЙ</w:t>
      </w:r>
      <w:r w:rsidRPr="00FB2966">
        <w:rPr>
          <w:rFonts w:eastAsia="Times New Roman" w:cs="Times New Roman"/>
          <w:b/>
          <w:color w:val="222222"/>
          <w:szCs w:val="28"/>
          <w:lang w:eastAsia="ru-RU"/>
        </w:rPr>
        <w:t xml:space="preserve"> </w:t>
      </w:r>
      <w:r>
        <w:rPr>
          <w:rFonts w:eastAsia="Times New Roman" w:cs="Times New Roman"/>
          <w:b/>
          <w:color w:val="222222"/>
          <w:szCs w:val="28"/>
          <w:lang w:eastAsia="ru-RU"/>
        </w:rPr>
        <w:t xml:space="preserve">БОЛЕЗНЬЮ СЕРДЦА </w:t>
      </w:r>
    </w:p>
    <w:p w:rsidR="00BF5A80" w:rsidRDefault="00BF5A80" w:rsidP="00BF5A80">
      <w:pPr>
        <w:tabs>
          <w:tab w:val="left" w:pos="567"/>
        </w:tabs>
        <w:spacing w:after="0" w:line="360" w:lineRule="auto"/>
        <w:jc w:val="center"/>
        <w:rPr>
          <w:b/>
          <w:i/>
          <w:lang w:val="ru-RU"/>
        </w:rPr>
      </w:pPr>
      <w:r w:rsidRPr="00984B2B">
        <w:rPr>
          <w:b/>
          <w:i/>
          <w:lang w:val="ru-RU"/>
        </w:rPr>
        <w:t xml:space="preserve">В.В. Бойко, С.В. </w:t>
      </w:r>
      <w:proofErr w:type="spellStart"/>
      <w:r w:rsidRPr="00984B2B">
        <w:rPr>
          <w:b/>
          <w:i/>
          <w:lang w:val="ru-RU"/>
        </w:rPr>
        <w:t>Билецкий</w:t>
      </w:r>
      <w:proofErr w:type="spellEnd"/>
    </w:p>
    <w:p w:rsidR="00BF5A80" w:rsidRDefault="00BF5A80" w:rsidP="00BF5A80">
      <w:pPr>
        <w:tabs>
          <w:tab w:val="left" w:pos="567"/>
        </w:tabs>
        <w:spacing w:after="0" w:line="360" w:lineRule="auto"/>
        <w:jc w:val="center"/>
        <w:rPr>
          <w:lang w:val="ru-RU"/>
        </w:rPr>
      </w:pPr>
      <w:r>
        <w:rPr>
          <w:lang w:val="ru-RU"/>
        </w:rPr>
        <w:t>ГВУЗ Украины «</w:t>
      </w:r>
      <w:proofErr w:type="spellStart"/>
      <w:r>
        <w:rPr>
          <w:lang w:val="ru-RU"/>
        </w:rPr>
        <w:t>Буковинский</w:t>
      </w:r>
      <w:proofErr w:type="spellEnd"/>
      <w:r>
        <w:rPr>
          <w:lang w:val="ru-RU"/>
        </w:rPr>
        <w:t xml:space="preserve"> государственный медицинский университет</w:t>
      </w:r>
      <w:proofErr w:type="gramStart"/>
      <w:r>
        <w:rPr>
          <w:lang w:val="ru-RU"/>
        </w:rPr>
        <w:t xml:space="preserve">»,   </w:t>
      </w:r>
      <w:proofErr w:type="gramEnd"/>
      <w:r>
        <w:rPr>
          <w:lang w:val="ru-RU"/>
        </w:rPr>
        <w:t xml:space="preserve">         г. Черновцы</w:t>
      </w:r>
    </w:p>
    <w:p w:rsidR="00BF5A80" w:rsidRDefault="00BF5A80" w:rsidP="00BF5A80">
      <w:pPr>
        <w:tabs>
          <w:tab w:val="left" w:pos="567"/>
        </w:tabs>
        <w:spacing w:after="0" w:line="360" w:lineRule="auto"/>
        <w:ind w:firstLine="567"/>
        <w:jc w:val="both"/>
        <w:rPr>
          <w:color w:val="000000" w:themeColor="text1"/>
          <w:szCs w:val="28"/>
        </w:rPr>
      </w:pPr>
      <w:r w:rsidRPr="00DF5159">
        <w:rPr>
          <w:rFonts w:eastAsia="Times New Roman" w:cs="Times New Roman"/>
          <w:b/>
          <w:szCs w:val="28"/>
          <w:lang w:eastAsia="ru-RU"/>
        </w:rPr>
        <w:t xml:space="preserve">Резюме. </w:t>
      </w:r>
      <w:r w:rsidRPr="005C794E">
        <w:rPr>
          <w:color w:val="000000" w:themeColor="text1"/>
          <w:szCs w:val="28"/>
        </w:rPr>
        <w:t xml:space="preserve">При </w:t>
      </w:r>
      <w:r>
        <w:rPr>
          <w:color w:val="000000" w:themeColor="text1"/>
          <w:szCs w:val="28"/>
          <w:lang w:val="ru-RU"/>
        </w:rPr>
        <w:t>лечении</w:t>
      </w:r>
      <w:r w:rsidRPr="005C794E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>г</w:t>
      </w:r>
      <w:r>
        <w:rPr>
          <w:color w:val="000000" w:themeColor="text1"/>
          <w:szCs w:val="28"/>
          <w:lang w:val="ru-RU"/>
        </w:rPr>
        <w:t>и</w:t>
      </w:r>
      <w:proofErr w:type="spellStart"/>
      <w:r>
        <w:rPr>
          <w:color w:val="000000" w:themeColor="text1"/>
          <w:szCs w:val="28"/>
        </w:rPr>
        <w:t>пертон</w:t>
      </w:r>
      <w:r>
        <w:rPr>
          <w:color w:val="000000" w:themeColor="text1"/>
          <w:szCs w:val="28"/>
          <w:lang w:val="ru-RU"/>
        </w:rPr>
        <w:t>ической</w:t>
      </w:r>
      <w:proofErr w:type="spellEnd"/>
      <w:r>
        <w:rPr>
          <w:color w:val="000000" w:themeColor="text1"/>
          <w:szCs w:val="28"/>
          <w:lang w:val="ru-RU"/>
        </w:rPr>
        <w:t xml:space="preserve"> болезни</w:t>
      </w:r>
      <w:r>
        <w:rPr>
          <w:color w:val="000000" w:themeColor="text1"/>
          <w:szCs w:val="28"/>
        </w:rPr>
        <w:t xml:space="preserve"> (Г</w:t>
      </w:r>
      <w:r>
        <w:rPr>
          <w:color w:val="000000" w:themeColor="text1"/>
          <w:szCs w:val="28"/>
          <w:lang w:val="ru-RU"/>
        </w:rPr>
        <w:t>Б</w:t>
      </w:r>
      <w:r>
        <w:rPr>
          <w:color w:val="000000" w:themeColor="text1"/>
          <w:szCs w:val="28"/>
        </w:rPr>
        <w:t xml:space="preserve">), </w:t>
      </w:r>
      <w:proofErr w:type="spellStart"/>
      <w:r>
        <w:rPr>
          <w:color w:val="000000" w:themeColor="text1"/>
          <w:szCs w:val="28"/>
        </w:rPr>
        <w:t>стаб</w:t>
      </w:r>
      <w:proofErr w:type="spellEnd"/>
      <w:r>
        <w:rPr>
          <w:color w:val="000000" w:themeColor="text1"/>
          <w:szCs w:val="28"/>
          <w:lang w:val="ru-RU"/>
        </w:rPr>
        <w:t>ильной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ru-RU"/>
        </w:rPr>
        <w:t xml:space="preserve">ишемической болезни сердца </w:t>
      </w:r>
      <w:r>
        <w:rPr>
          <w:color w:val="000000" w:themeColor="text1"/>
          <w:szCs w:val="28"/>
        </w:rPr>
        <w:t>(С</w:t>
      </w:r>
      <w:r>
        <w:rPr>
          <w:color w:val="000000" w:themeColor="text1"/>
          <w:szCs w:val="28"/>
          <w:lang w:val="ru-RU"/>
        </w:rPr>
        <w:t>ИБС</w:t>
      </w:r>
      <w:r>
        <w:rPr>
          <w:color w:val="000000" w:themeColor="text1"/>
          <w:szCs w:val="28"/>
        </w:rPr>
        <w:t xml:space="preserve">) </w:t>
      </w:r>
      <w:proofErr w:type="spellStart"/>
      <w:r w:rsidRPr="005C3DCC">
        <w:rPr>
          <w:rFonts w:cs="Ubuntu"/>
          <w:color w:val="000000"/>
          <w:szCs w:val="28"/>
        </w:rPr>
        <w:t>чрезвычайно</w:t>
      </w:r>
      <w:proofErr w:type="spellEnd"/>
      <w:r w:rsidRPr="005C3DCC">
        <w:rPr>
          <w:rFonts w:cs="Ubuntu"/>
          <w:color w:val="000000"/>
          <w:szCs w:val="28"/>
        </w:rPr>
        <w:t xml:space="preserve"> </w:t>
      </w:r>
      <w:proofErr w:type="spellStart"/>
      <w:r w:rsidRPr="005C3DCC">
        <w:rPr>
          <w:rFonts w:cs="Ubuntu"/>
          <w:color w:val="000000"/>
          <w:szCs w:val="28"/>
        </w:rPr>
        <w:t>важной</w:t>
      </w:r>
      <w:proofErr w:type="spellEnd"/>
      <w:r w:rsidRPr="005C3DCC">
        <w:rPr>
          <w:rFonts w:cs="Ubuntu"/>
          <w:color w:val="000000"/>
          <w:szCs w:val="28"/>
        </w:rPr>
        <w:t xml:space="preserve"> </w:t>
      </w:r>
      <w:proofErr w:type="spellStart"/>
      <w:r w:rsidRPr="005C3DCC">
        <w:rPr>
          <w:rFonts w:cs="Ubuntu"/>
          <w:color w:val="000000"/>
          <w:szCs w:val="28"/>
        </w:rPr>
        <w:t>является</w:t>
      </w:r>
      <w:proofErr w:type="spellEnd"/>
      <w:r w:rsidRPr="005C3DCC">
        <w:rPr>
          <w:rFonts w:cs="Ubuntu"/>
          <w:color w:val="000000"/>
          <w:szCs w:val="28"/>
        </w:rPr>
        <w:t xml:space="preserve"> </w:t>
      </w:r>
      <w:proofErr w:type="spellStart"/>
      <w:r w:rsidRPr="005C3DCC">
        <w:rPr>
          <w:rFonts w:cs="Ubuntu"/>
          <w:color w:val="000000"/>
          <w:szCs w:val="28"/>
        </w:rPr>
        <w:t>коррекция</w:t>
      </w:r>
      <w:proofErr w:type="spellEnd"/>
      <w:r w:rsidRPr="005C3DCC">
        <w:rPr>
          <w:rFonts w:cs="Ubuntu"/>
          <w:color w:val="000000"/>
          <w:szCs w:val="28"/>
        </w:rPr>
        <w:t xml:space="preserve"> </w:t>
      </w:r>
      <w:proofErr w:type="spellStart"/>
      <w:r w:rsidRPr="005C3DCC">
        <w:rPr>
          <w:rFonts w:cs="Ubuntu"/>
          <w:color w:val="000000"/>
          <w:szCs w:val="28"/>
        </w:rPr>
        <w:t>метаболических</w:t>
      </w:r>
      <w:proofErr w:type="spellEnd"/>
      <w:r w:rsidRPr="005C3DCC">
        <w:rPr>
          <w:rFonts w:cs="Ubuntu"/>
          <w:color w:val="000000"/>
          <w:szCs w:val="28"/>
        </w:rPr>
        <w:t xml:space="preserve"> </w:t>
      </w:r>
      <w:proofErr w:type="spellStart"/>
      <w:r w:rsidRPr="005C3DCC">
        <w:rPr>
          <w:rFonts w:cs="Ubuntu"/>
          <w:color w:val="000000"/>
          <w:szCs w:val="28"/>
        </w:rPr>
        <w:t>факторов</w:t>
      </w:r>
      <w:proofErr w:type="spellEnd"/>
      <w:r w:rsidRPr="005C3DCC">
        <w:rPr>
          <w:rFonts w:cs="Ubuntu"/>
          <w:color w:val="000000"/>
          <w:szCs w:val="28"/>
        </w:rPr>
        <w:t xml:space="preserve"> </w:t>
      </w:r>
      <w:proofErr w:type="spellStart"/>
      <w:r w:rsidRPr="005C3DCC">
        <w:rPr>
          <w:rFonts w:cs="Ubuntu"/>
          <w:color w:val="000000"/>
          <w:szCs w:val="28"/>
        </w:rPr>
        <w:t>кардиовас</w:t>
      </w:r>
      <w:r w:rsidRPr="005C3DCC">
        <w:rPr>
          <w:rFonts w:cs="Ubuntu"/>
          <w:color w:val="000000"/>
          <w:szCs w:val="28"/>
        </w:rPr>
        <w:softHyphen/>
        <w:t>кулярного</w:t>
      </w:r>
      <w:proofErr w:type="spellEnd"/>
      <w:r w:rsidRPr="005C3DCC">
        <w:rPr>
          <w:rFonts w:cs="Ubuntu"/>
          <w:color w:val="000000"/>
          <w:szCs w:val="28"/>
        </w:rPr>
        <w:t xml:space="preserve"> риска</w:t>
      </w:r>
      <w:r>
        <w:rPr>
          <w:rFonts w:cs="Ubuntu"/>
          <w:color w:val="000000"/>
          <w:sz w:val="18"/>
          <w:szCs w:val="18"/>
        </w:rPr>
        <w:t xml:space="preserve"> </w:t>
      </w:r>
      <w:r w:rsidRPr="00232BCE">
        <w:rPr>
          <w:rFonts w:cs="Ubuntu"/>
          <w:color w:val="000000"/>
          <w:szCs w:val="28"/>
          <w:lang w:val="ru-RU"/>
        </w:rPr>
        <w:t>с использованием</w:t>
      </w:r>
      <w:r>
        <w:rPr>
          <w:rFonts w:cs="Ubuntu"/>
          <w:color w:val="000000"/>
          <w:sz w:val="18"/>
          <w:szCs w:val="18"/>
          <w:lang w:val="ru-RU"/>
        </w:rPr>
        <w:t xml:space="preserve"> </w:t>
      </w:r>
      <w:r>
        <w:rPr>
          <w:color w:val="000000" w:themeColor="text1"/>
          <w:szCs w:val="28"/>
        </w:rPr>
        <w:t>антиоксидант</w:t>
      </w:r>
      <w:r>
        <w:rPr>
          <w:color w:val="000000" w:themeColor="text1"/>
          <w:szCs w:val="28"/>
          <w:lang w:val="ru-RU"/>
        </w:rPr>
        <w:t>о</w:t>
      </w:r>
      <w:r>
        <w:rPr>
          <w:color w:val="000000" w:themeColor="text1"/>
          <w:szCs w:val="28"/>
        </w:rPr>
        <w:t xml:space="preserve">в </w:t>
      </w:r>
      <w:r>
        <w:rPr>
          <w:color w:val="000000" w:themeColor="text1"/>
          <w:szCs w:val="28"/>
          <w:lang w:val="ru-RU"/>
        </w:rPr>
        <w:t>и</w:t>
      </w:r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донатор</w:t>
      </w:r>
      <w:proofErr w:type="spellEnd"/>
      <w:r>
        <w:rPr>
          <w:color w:val="000000" w:themeColor="text1"/>
          <w:szCs w:val="28"/>
          <w:lang w:val="ru-RU"/>
        </w:rPr>
        <w:t>о</w:t>
      </w:r>
      <w:r>
        <w:rPr>
          <w:color w:val="000000" w:themeColor="text1"/>
          <w:szCs w:val="28"/>
        </w:rPr>
        <w:t xml:space="preserve">в </w:t>
      </w:r>
      <w:proofErr w:type="spellStart"/>
      <w:r>
        <w:rPr>
          <w:color w:val="000000" w:themeColor="text1"/>
          <w:szCs w:val="28"/>
        </w:rPr>
        <w:t>монооксид</w:t>
      </w:r>
      <w:proofErr w:type="spellEnd"/>
      <w:r>
        <w:rPr>
          <w:color w:val="000000" w:themeColor="text1"/>
          <w:szCs w:val="28"/>
          <w:lang w:val="ru-RU"/>
        </w:rPr>
        <w:t>а</w:t>
      </w:r>
      <w:r>
        <w:rPr>
          <w:color w:val="000000" w:themeColor="text1"/>
          <w:szCs w:val="28"/>
        </w:rPr>
        <w:t xml:space="preserve"> н</w:t>
      </w:r>
      <w:r>
        <w:rPr>
          <w:color w:val="000000" w:themeColor="text1"/>
          <w:szCs w:val="28"/>
          <w:lang w:val="ru-RU"/>
        </w:rPr>
        <w:t>и</w:t>
      </w:r>
      <w:proofErr w:type="spellStart"/>
      <w:r>
        <w:rPr>
          <w:color w:val="000000" w:themeColor="text1"/>
          <w:szCs w:val="28"/>
        </w:rPr>
        <w:t>троген</w:t>
      </w:r>
      <w:proofErr w:type="spellEnd"/>
      <w:r>
        <w:rPr>
          <w:color w:val="000000" w:themeColor="text1"/>
          <w:szCs w:val="28"/>
          <w:lang w:val="ru-RU"/>
        </w:rPr>
        <w:t>а</w:t>
      </w:r>
      <w:r>
        <w:rPr>
          <w:color w:val="000000" w:themeColor="text1"/>
          <w:szCs w:val="28"/>
        </w:rPr>
        <w:t xml:space="preserve"> (</w:t>
      </w:r>
      <w:r w:rsidRPr="00150620">
        <w:rPr>
          <w:color w:val="000000" w:themeColor="text1"/>
          <w:szCs w:val="28"/>
          <w:lang w:val="en-US"/>
        </w:rPr>
        <w:t>NO</w:t>
      </w:r>
      <w:r>
        <w:rPr>
          <w:color w:val="000000" w:themeColor="text1"/>
          <w:szCs w:val="28"/>
        </w:rPr>
        <w:t>).</w:t>
      </w:r>
    </w:p>
    <w:p w:rsidR="00BF5A80" w:rsidRDefault="00BF5A80" w:rsidP="00BF5A80">
      <w:pPr>
        <w:pStyle w:val="Pa8"/>
        <w:spacing w:line="360" w:lineRule="auto"/>
        <w:ind w:firstLine="3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B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работы </w:t>
      </w:r>
      <w:r w:rsidRPr="00232BCE">
        <w:rPr>
          <w:rFonts w:ascii="Times New Roman" w:hAnsi="Times New Roman" w:cs="Times New Roman"/>
          <w:color w:val="000000"/>
          <w:sz w:val="28"/>
          <w:szCs w:val="28"/>
        </w:rPr>
        <w:t xml:space="preserve">– исследовать эффективность лечения больных ГБ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стадии (ст.) в</w:t>
      </w:r>
      <w:r w:rsidRPr="00232BCE">
        <w:rPr>
          <w:rFonts w:ascii="Times New Roman" w:hAnsi="Times New Roman" w:cs="Times New Roman"/>
          <w:color w:val="000000"/>
          <w:sz w:val="28"/>
          <w:szCs w:val="28"/>
        </w:rPr>
        <w:t xml:space="preserve"> сочетании с СИБС путем воздей</w:t>
      </w:r>
      <w:r w:rsidRPr="00232BC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ствия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липидного и углеводного обмена, </w:t>
      </w:r>
      <w:r w:rsidRPr="00232BCE">
        <w:rPr>
          <w:rFonts w:ascii="Times New Roman" w:hAnsi="Times New Roman" w:cs="Times New Roman"/>
          <w:color w:val="000000"/>
          <w:sz w:val="28"/>
          <w:szCs w:val="28"/>
        </w:rPr>
        <w:t xml:space="preserve">интенсивность перекисного окисления липидов (ПОЛ)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функцию эндотелия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32BCE">
        <w:rPr>
          <w:rFonts w:ascii="Times New Roman" w:hAnsi="Times New Roman" w:cs="Times New Roman"/>
          <w:color w:val="000000"/>
          <w:sz w:val="28"/>
          <w:szCs w:val="28"/>
        </w:rPr>
        <w:t>верцетином</w:t>
      </w:r>
      <w:proofErr w:type="spellEnd"/>
      <w:r w:rsidRPr="00232BC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32BCE">
        <w:rPr>
          <w:rFonts w:ascii="Times New Roman" w:hAnsi="Times New Roman" w:cs="Times New Roman"/>
          <w:color w:val="000000"/>
          <w:sz w:val="28"/>
          <w:szCs w:val="28"/>
        </w:rPr>
        <w:t>орвитином</w:t>
      </w:r>
      <w:proofErr w:type="spellEnd"/>
      <w:r w:rsidRPr="00232BCE">
        <w:rPr>
          <w:rFonts w:ascii="Times New Roman" w:hAnsi="Times New Roman" w:cs="Times New Roman"/>
          <w:color w:val="000000"/>
          <w:sz w:val="28"/>
          <w:szCs w:val="28"/>
        </w:rPr>
        <w:t xml:space="preserve">) 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32BCE">
        <w:rPr>
          <w:rFonts w:ascii="Times New Roman" w:hAnsi="Times New Roman" w:cs="Times New Roman"/>
          <w:color w:val="000000"/>
          <w:sz w:val="28"/>
          <w:szCs w:val="28"/>
        </w:rPr>
        <w:t>ргинин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32BCE">
        <w:rPr>
          <w:rFonts w:ascii="Times New Roman" w:hAnsi="Times New Roman" w:cs="Times New Roman"/>
          <w:color w:val="000000"/>
          <w:sz w:val="28"/>
          <w:szCs w:val="28"/>
        </w:rPr>
        <w:t xml:space="preserve"> гидрохлорид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32BCE">
        <w:rPr>
          <w:rFonts w:ascii="Times New Roman" w:hAnsi="Times New Roman" w:cs="Times New Roman"/>
          <w:color w:val="000000"/>
          <w:sz w:val="28"/>
          <w:szCs w:val="28"/>
        </w:rPr>
        <w:t>ивортином</w:t>
      </w:r>
      <w:proofErr w:type="spellEnd"/>
      <w:r w:rsidRPr="00232BCE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BF5A80" w:rsidRPr="00835FC3" w:rsidRDefault="00BF5A80" w:rsidP="00BF5A80">
      <w:pPr>
        <w:spacing w:after="0" w:line="360" w:lineRule="auto"/>
        <w:ind w:firstLine="567"/>
        <w:jc w:val="both"/>
        <w:rPr>
          <w:b/>
          <w:color w:val="000000" w:themeColor="text1"/>
          <w:szCs w:val="28"/>
        </w:rPr>
      </w:pPr>
      <w:proofErr w:type="spellStart"/>
      <w:r w:rsidRPr="00835FC3">
        <w:rPr>
          <w:rFonts w:cs="Times New Roman"/>
          <w:b/>
          <w:bCs/>
          <w:color w:val="000000"/>
          <w:szCs w:val="28"/>
        </w:rPr>
        <w:t>Материал</w:t>
      </w:r>
      <w:proofErr w:type="spellEnd"/>
      <w:r w:rsidRPr="00835FC3">
        <w:rPr>
          <w:rFonts w:cs="Times New Roman"/>
          <w:b/>
          <w:bCs/>
          <w:color w:val="000000"/>
          <w:szCs w:val="28"/>
        </w:rPr>
        <w:t xml:space="preserve"> и </w:t>
      </w:r>
      <w:proofErr w:type="spellStart"/>
      <w:r w:rsidRPr="00835FC3">
        <w:rPr>
          <w:rFonts w:cs="Times New Roman"/>
          <w:b/>
          <w:bCs/>
          <w:color w:val="000000"/>
          <w:szCs w:val="28"/>
        </w:rPr>
        <w:t>методы</w:t>
      </w:r>
      <w:proofErr w:type="spellEnd"/>
      <w:r w:rsidRPr="00835FC3">
        <w:rPr>
          <w:rFonts w:cs="Times New Roman"/>
          <w:b/>
          <w:bCs/>
          <w:color w:val="000000"/>
          <w:szCs w:val="28"/>
        </w:rPr>
        <w:t xml:space="preserve">. </w:t>
      </w:r>
      <w:r w:rsidRPr="00835FC3">
        <w:rPr>
          <w:rFonts w:cs="Times New Roman"/>
          <w:color w:val="000000"/>
          <w:szCs w:val="28"/>
        </w:rPr>
        <w:t xml:space="preserve">В </w:t>
      </w:r>
      <w:proofErr w:type="spellStart"/>
      <w:r w:rsidRPr="00835FC3">
        <w:rPr>
          <w:rFonts w:cs="Times New Roman"/>
          <w:color w:val="000000"/>
          <w:szCs w:val="28"/>
        </w:rPr>
        <w:t>исследование</w:t>
      </w:r>
      <w:proofErr w:type="spellEnd"/>
      <w:r w:rsidRPr="00835FC3">
        <w:rPr>
          <w:rFonts w:cs="Times New Roman"/>
          <w:color w:val="000000"/>
          <w:szCs w:val="28"/>
        </w:rPr>
        <w:t xml:space="preserve"> включено </w:t>
      </w:r>
      <w:r>
        <w:rPr>
          <w:rFonts w:cs="Times New Roman"/>
          <w:color w:val="000000"/>
          <w:szCs w:val="28"/>
          <w:lang w:val="ru-RU"/>
        </w:rPr>
        <w:t>56</w:t>
      </w:r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больных</w:t>
      </w:r>
      <w:proofErr w:type="spellEnd"/>
      <w:r w:rsidRPr="00835FC3">
        <w:rPr>
          <w:rFonts w:cs="Times New Roman"/>
          <w:color w:val="000000"/>
          <w:szCs w:val="28"/>
        </w:rPr>
        <w:t xml:space="preserve"> ГБ II ст</w:t>
      </w:r>
      <w:r>
        <w:rPr>
          <w:rFonts w:cs="Times New Roman"/>
          <w:color w:val="000000"/>
          <w:szCs w:val="28"/>
        </w:rPr>
        <w:t>.</w:t>
      </w:r>
      <w:r w:rsidRPr="00835FC3">
        <w:rPr>
          <w:rFonts w:cs="Times New Roman"/>
          <w:color w:val="000000"/>
          <w:szCs w:val="28"/>
        </w:rPr>
        <w:t xml:space="preserve"> в </w:t>
      </w:r>
      <w:proofErr w:type="spellStart"/>
      <w:r w:rsidRPr="00835FC3">
        <w:rPr>
          <w:rFonts w:cs="Times New Roman"/>
          <w:color w:val="000000"/>
          <w:szCs w:val="28"/>
        </w:rPr>
        <w:t>сочетании</w:t>
      </w:r>
      <w:proofErr w:type="spellEnd"/>
      <w:r w:rsidRPr="00835FC3">
        <w:rPr>
          <w:rFonts w:cs="Times New Roman"/>
          <w:color w:val="000000"/>
          <w:szCs w:val="28"/>
        </w:rPr>
        <w:t xml:space="preserve"> с СИБС, </w:t>
      </w:r>
      <w:proofErr w:type="spellStart"/>
      <w:r w:rsidRPr="00835FC3">
        <w:rPr>
          <w:rFonts w:cs="Times New Roman"/>
          <w:color w:val="000000"/>
          <w:szCs w:val="28"/>
        </w:rPr>
        <w:t>которые</w:t>
      </w:r>
      <w:proofErr w:type="spellEnd"/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были</w:t>
      </w:r>
      <w:proofErr w:type="spellEnd"/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рандомизированы</w:t>
      </w:r>
      <w:proofErr w:type="spellEnd"/>
      <w:r w:rsidRPr="00835FC3">
        <w:rPr>
          <w:rFonts w:cs="Times New Roman"/>
          <w:color w:val="000000"/>
          <w:szCs w:val="28"/>
        </w:rPr>
        <w:t xml:space="preserve"> в </w:t>
      </w:r>
      <w:proofErr w:type="spellStart"/>
      <w:r w:rsidRPr="00835FC3">
        <w:rPr>
          <w:rFonts w:cs="Times New Roman"/>
          <w:color w:val="000000"/>
          <w:szCs w:val="28"/>
        </w:rPr>
        <w:t>две</w:t>
      </w:r>
      <w:proofErr w:type="spellEnd"/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группы</w:t>
      </w:r>
      <w:proofErr w:type="spellEnd"/>
      <w:r w:rsidRPr="00835FC3">
        <w:rPr>
          <w:rFonts w:cs="Times New Roman"/>
          <w:color w:val="000000"/>
          <w:szCs w:val="28"/>
        </w:rPr>
        <w:t xml:space="preserve">. В I </w:t>
      </w:r>
      <w:proofErr w:type="spellStart"/>
      <w:r w:rsidRPr="00835FC3">
        <w:rPr>
          <w:rFonts w:cs="Times New Roman"/>
          <w:color w:val="000000"/>
          <w:szCs w:val="28"/>
        </w:rPr>
        <w:t>группу</w:t>
      </w:r>
      <w:proofErr w:type="spellEnd"/>
      <w:r w:rsidRPr="00835FC3">
        <w:rPr>
          <w:rFonts w:cs="Times New Roman"/>
          <w:color w:val="000000"/>
          <w:szCs w:val="28"/>
        </w:rPr>
        <w:t xml:space="preserve"> входили </w:t>
      </w:r>
      <w:r>
        <w:rPr>
          <w:rFonts w:cs="Times New Roman"/>
          <w:color w:val="000000"/>
          <w:szCs w:val="28"/>
          <w:lang w:val="ru-RU"/>
        </w:rPr>
        <w:t>24</w:t>
      </w:r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пациент</w:t>
      </w:r>
      <w:proofErr w:type="spellEnd"/>
      <w:r>
        <w:rPr>
          <w:rFonts w:cs="Times New Roman"/>
          <w:color w:val="000000"/>
          <w:szCs w:val="28"/>
          <w:lang w:val="ru-RU"/>
        </w:rPr>
        <w:t>а</w:t>
      </w:r>
      <w:r w:rsidRPr="00835FC3">
        <w:rPr>
          <w:rFonts w:cs="Times New Roman"/>
          <w:color w:val="000000"/>
          <w:szCs w:val="28"/>
        </w:rPr>
        <w:t xml:space="preserve">, </w:t>
      </w:r>
      <w:proofErr w:type="spellStart"/>
      <w:r w:rsidRPr="00835FC3">
        <w:rPr>
          <w:rFonts w:cs="Times New Roman"/>
          <w:color w:val="000000"/>
          <w:szCs w:val="28"/>
        </w:rPr>
        <w:t>которым</w:t>
      </w:r>
      <w:proofErr w:type="spellEnd"/>
      <w:r w:rsidRPr="00835FC3">
        <w:rPr>
          <w:rFonts w:cs="Times New Roman"/>
          <w:color w:val="000000"/>
          <w:szCs w:val="28"/>
        </w:rPr>
        <w:t xml:space="preserve"> проводилась </w:t>
      </w:r>
      <w:proofErr w:type="spellStart"/>
      <w:r w:rsidRPr="00835FC3">
        <w:rPr>
          <w:rFonts w:cs="Times New Roman"/>
          <w:color w:val="000000"/>
          <w:szCs w:val="28"/>
        </w:rPr>
        <w:t>общепринятая</w:t>
      </w:r>
      <w:proofErr w:type="spellEnd"/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базисная</w:t>
      </w:r>
      <w:proofErr w:type="spellEnd"/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терапия</w:t>
      </w:r>
      <w:proofErr w:type="spellEnd"/>
      <w:r>
        <w:rPr>
          <w:rFonts w:cs="Times New Roman"/>
          <w:color w:val="000000"/>
          <w:szCs w:val="28"/>
          <w:lang w:val="ru-RU"/>
        </w:rPr>
        <w:t xml:space="preserve"> (БТ)</w:t>
      </w:r>
      <w:r w:rsidRPr="00835FC3">
        <w:rPr>
          <w:rFonts w:cs="Times New Roman"/>
          <w:color w:val="000000"/>
          <w:szCs w:val="28"/>
        </w:rPr>
        <w:t xml:space="preserve">. </w:t>
      </w:r>
      <w:proofErr w:type="spellStart"/>
      <w:r w:rsidRPr="00835FC3">
        <w:rPr>
          <w:rFonts w:cs="Times New Roman"/>
          <w:color w:val="000000"/>
          <w:szCs w:val="28"/>
        </w:rPr>
        <w:t>Пациентам</w:t>
      </w:r>
      <w:proofErr w:type="spellEnd"/>
      <w:r w:rsidRPr="00835FC3">
        <w:rPr>
          <w:rFonts w:cs="Times New Roman"/>
          <w:color w:val="000000"/>
          <w:szCs w:val="28"/>
        </w:rPr>
        <w:t xml:space="preserve"> II </w:t>
      </w:r>
      <w:proofErr w:type="spellStart"/>
      <w:r w:rsidRPr="00835FC3">
        <w:rPr>
          <w:rFonts w:cs="Times New Roman"/>
          <w:color w:val="000000"/>
          <w:szCs w:val="28"/>
        </w:rPr>
        <w:t>группы</w:t>
      </w:r>
      <w:proofErr w:type="spellEnd"/>
      <w:r w:rsidRPr="00835FC3">
        <w:rPr>
          <w:rFonts w:cs="Times New Roman"/>
          <w:color w:val="000000"/>
          <w:szCs w:val="28"/>
        </w:rPr>
        <w:t xml:space="preserve"> (3</w:t>
      </w:r>
      <w:r>
        <w:rPr>
          <w:rFonts w:cs="Times New Roman"/>
          <w:color w:val="000000"/>
          <w:szCs w:val="28"/>
          <w:lang w:val="ru-RU"/>
        </w:rPr>
        <w:t>2</w:t>
      </w:r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человек</w:t>
      </w:r>
      <w:proofErr w:type="spellEnd"/>
      <w:r>
        <w:rPr>
          <w:rFonts w:cs="Times New Roman"/>
          <w:color w:val="000000"/>
          <w:szCs w:val="28"/>
          <w:lang w:val="ru-RU"/>
        </w:rPr>
        <w:t>а</w:t>
      </w:r>
      <w:r w:rsidRPr="00835FC3">
        <w:rPr>
          <w:rFonts w:cs="Times New Roman"/>
          <w:color w:val="000000"/>
          <w:szCs w:val="28"/>
        </w:rPr>
        <w:t xml:space="preserve">) </w:t>
      </w:r>
      <w:proofErr w:type="spellStart"/>
      <w:r w:rsidRPr="00835FC3">
        <w:rPr>
          <w:rFonts w:cs="Times New Roman"/>
          <w:color w:val="000000"/>
          <w:szCs w:val="28"/>
        </w:rPr>
        <w:t>первые</w:t>
      </w:r>
      <w:proofErr w:type="spellEnd"/>
      <w:r w:rsidRPr="00835FC3">
        <w:rPr>
          <w:rFonts w:cs="Times New Roman"/>
          <w:color w:val="000000"/>
          <w:szCs w:val="28"/>
        </w:rPr>
        <w:t xml:space="preserve"> 6 </w:t>
      </w:r>
      <w:proofErr w:type="spellStart"/>
      <w:r w:rsidRPr="00835FC3">
        <w:rPr>
          <w:rFonts w:cs="Times New Roman"/>
          <w:color w:val="000000"/>
          <w:szCs w:val="28"/>
        </w:rPr>
        <w:t>дней</w:t>
      </w:r>
      <w:proofErr w:type="spellEnd"/>
      <w:r>
        <w:rPr>
          <w:rFonts w:cs="Times New Roman"/>
          <w:color w:val="000000"/>
          <w:szCs w:val="28"/>
          <w:lang w:val="ru-RU"/>
        </w:rPr>
        <w:t>,</w:t>
      </w:r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кроме</w:t>
      </w:r>
      <w:proofErr w:type="spellEnd"/>
      <w:r>
        <w:rPr>
          <w:rFonts w:cs="Times New Roman"/>
          <w:color w:val="000000"/>
          <w:szCs w:val="28"/>
          <w:lang w:val="ru-RU"/>
        </w:rPr>
        <w:t xml:space="preserve"> БТ</w:t>
      </w:r>
      <w:r w:rsidRPr="00835FC3">
        <w:rPr>
          <w:rFonts w:cs="Times New Roman"/>
          <w:color w:val="000000"/>
          <w:szCs w:val="28"/>
        </w:rPr>
        <w:t xml:space="preserve">, проводилась </w:t>
      </w:r>
      <w:proofErr w:type="spellStart"/>
      <w:r w:rsidRPr="00835FC3">
        <w:rPr>
          <w:rFonts w:cs="Times New Roman"/>
          <w:color w:val="000000"/>
          <w:szCs w:val="28"/>
        </w:rPr>
        <w:t>инфу</w:t>
      </w:r>
      <w:r w:rsidRPr="00835FC3">
        <w:rPr>
          <w:rFonts w:cs="Times New Roman"/>
          <w:color w:val="000000"/>
          <w:szCs w:val="28"/>
        </w:rPr>
        <w:softHyphen/>
        <w:t>зионная</w:t>
      </w:r>
      <w:proofErr w:type="spellEnd"/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терапия</w:t>
      </w:r>
      <w:proofErr w:type="spellEnd"/>
      <w:r w:rsidRPr="00835FC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ru-RU"/>
        </w:rPr>
        <w:t>К</w:t>
      </w:r>
      <w:proofErr w:type="spellStart"/>
      <w:r w:rsidRPr="00835FC3">
        <w:rPr>
          <w:rFonts w:cs="Times New Roman"/>
          <w:color w:val="000000"/>
          <w:szCs w:val="28"/>
        </w:rPr>
        <w:t>орвитином</w:t>
      </w:r>
      <w:proofErr w:type="spellEnd"/>
      <w:r w:rsidRPr="00835FC3">
        <w:rPr>
          <w:rFonts w:cs="Times New Roman"/>
          <w:color w:val="000000"/>
          <w:szCs w:val="28"/>
        </w:rPr>
        <w:t xml:space="preserve"> (0,5 г), а в </w:t>
      </w:r>
      <w:proofErr w:type="spellStart"/>
      <w:r w:rsidRPr="00835FC3">
        <w:rPr>
          <w:rFonts w:cs="Times New Roman"/>
          <w:color w:val="000000"/>
          <w:szCs w:val="28"/>
        </w:rPr>
        <w:t>последующие</w:t>
      </w:r>
      <w:proofErr w:type="spellEnd"/>
      <w:r w:rsidRPr="00835FC3">
        <w:rPr>
          <w:rFonts w:cs="Times New Roman"/>
          <w:color w:val="000000"/>
          <w:szCs w:val="28"/>
        </w:rPr>
        <w:t xml:space="preserve"> 6 </w:t>
      </w:r>
      <w:proofErr w:type="spellStart"/>
      <w:r w:rsidRPr="00835FC3">
        <w:rPr>
          <w:rFonts w:cs="Times New Roman"/>
          <w:color w:val="000000"/>
          <w:szCs w:val="28"/>
        </w:rPr>
        <w:t>дней</w:t>
      </w:r>
      <w:proofErr w:type="spellEnd"/>
      <w:r w:rsidRPr="00835FC3">
        <w:rPr>
          <w:rFonts w:cs="Times New Roman"/>
          <w:color w:val="000000"/>
          <w:szCs w:val="28"/>
        </w:rPr>
        <w:t xml:space="preserve"> – </w:t>
      </w:r>
      <w:r>
        <w:rPr>
          <w:rFonts w:cs="Times New Roman"/>
          <w:color w:val="000000"/>
          <w:szCs w:val="28"/>
          <w:lang w:val="ru-RU"/>
        </w:rPr>
        <w:t>Т</w:t>
      </w:r>
      <w:proofErr w:type="spellStart"/>
      <w:r w:rsidRPr="00835FC3">
        <w:rPr>
          <w:rFonts w:cs="Times New Roman"/>
          <w:color w:val="000000"/>
          <w:szCs w:val="28"/>
        </w:rPr>
        <w:t>ивортином</w:t>
      </w:r>
      <w:proofErr w:type="spellEnd"/>
      <w:r w:rsidRPr="00835FC3">
        <w:rPr>
          <w:rFonts w:cs="Times New Roman"/>
          <w:color w:val="000000"/>
          <w:szCs w:val="28"/>
        </w:rPr>
        <w:t xml:space="preserve"> по 100 мл </w:t>
      </w:r>
      <w:proofErr w:type="spellStart"/>
      <w:r w:rsidRPr="00835FC3">
        <w:rPr>
          <w:rFonts w:cs="Times New Roman"/>
          <w:color w:val="000000"/>
          <w:szCs w:val="28"/>
        </w:rPr>
        <w:t>внутривенно</w:t>
      </w:r>
      <w:proofErr w:type="spellEnd"/>
      <w:r w:rsidRPr="00835FC3">
        <w:rPr>
          <w:rFonts w:cs="Times New Roman"/>
          <w:color w:val="000000"/>
          <w:szCs w:val="28"/>
        </w:rPr>
        <w:t xml:space="preserve"> с </w:t>
      </w:r>
      <w:proofErr w:type="spellStart"/>
      <w:r w:rsidRPr="00835FC3">
        <w:rPr>
          <w:rFonts w:cs="Times New Roman"/>
          <w:color w:val="000000"/>
          <w:szCs w:val="28"/>
        </w:rPr>
        <w:lastRenderedPageBreak/>
        <w:t>последую</w:t>
      </w:r>
      <w:r w:rsidRPr="00835FC3">
        <w:rPr>
          <w:rFonts w:cs="Times New Roman"/>
          <w:color w:val="000000"/>
          <w:szCs w:val="28"/>
        </w:rPr>
        <w:softHyphen/>
        <w:t>щим</w:t>
      </w:r>
      <w:proofErr w:type="spellEnd"/>
      <w:r w:rsidRPr="00835FC3">
        <w:rPr>
          <w:rFonts w:cs="Times New Roman"/>
          <w:color w:val="000000"/>
          <w:szCs w:val="28"/>
        </w:rPr>
        <w:t xml:space="preserve"> переходом на </w:t>
      </w:r>
      <w:proofErr w:type="spellStart"/>
      <w:r w:rsidRPr="00835FC3">
        <w:rPr>
          <w:rFonts w:cs="Times New Roman"/>
          <w:color w:val="000000"/>
          <w:szCs w:val="28"/>
        </w:rPr>
        <w:t>амбулаторный</w:t>
      </w:r>
      <w:proofErr w:type="spellEnd"/>
      <w:r w:rsidRPr="00835FC3">
        <w:rPr>
          <w:rFonts w:cs="Times New Roman"/>
          <w:color w:val="000000"/>
          <w:szCs w:val="28"/>
        </w:rPr>
        <w:t xml:space="preserve"> </w:t>
      </w:r>
      <w:proofErr w:type="spellStart"/>
      <w:r w:rsidRPr="00835FC3">
        <w:rPr>
          <w:rFonts w:cs="Times New Roman"/>
          <w:color w:val="000000"/>
          <w:szCs w:val="28"/>
        </w:rPr>
        <w:t>при</w:t>
      </w:r>
      <w:r w:rsidRPr="00835FC3">
        <w:rPr>
          <w:rFonts w:cs="Ubuntu"/>
          <w:color w:val="000000"/>
          <w:szCs w:val="28"/>
        </w:rPr>
        <w:t>ем</w:t>
      </w:r>
      <w:proofErr w:type="spellEnd"/>
      <w:r w:rsidRPr="00835FC3">
        <w:rPr>
          <w:rFonts w:cs="Ubuntu"/>
          <w:color w:val="000000"/>
          <w:szCs w:val="28"/>
        </w:rPr>
        <w:t xml:space="preserve"> </w:t>
      </w:r>
      <w:proofErr w:type="spellStart"/>
      <w:r w:rsidRPr="00835FC3">
        <w:rPr>
          <w:rFonts w:cs="Ubuntu"/>
          <w:color w:val="000000"/>
          <w:szCs w:val="28"/>
        </w:rPr>
        <w:t>пероральной</w:t>
      </w:r>
      <w:proofErr w:type="spellEnd"/>
      <w:r w:rsidRPr="00835FC3">
        <w:rPr>
          <w:rFonts w:cs="Ubuntu"/>
          <w:color w:val="000000"/>
          <w:szCs w:val="28"/>
        </w:rPr>
        <w:t xml:space="preserve"> </w:t>
      </w:r>
      <w:proofErr w:type="spellStart"/>
      <w:r w:rsidRPr="00835FC3">
        <w:rPr>
          <w:rFonts w:cs="Ubuntu"/>
          <w:color w:val="000000"/>
          <w:szCs w:val="28"/>
        </w:rPr>
        <w:t>формы</w:t>
      </w:r>
      <w:proofErr w:type="spellEnd"/>
      <w:r w:rsidRPr="00835FC3">
        <w:rPr>
          <w:rFonts w:cs="Ubuntu"/>
          <w:color w:val="000000"/>
          <w:szCs w:val="28"/>
        </w:rPr>
        <w:t xml:space="preserve"> </w:t>
      </w:r>
      <w:r>
        <w:rPr>
          <w:rFonts w:cs="Ubuntu"/>
          <w:color w:val="000000"/>
          <w:szCs w:val="28"/>
          <w:lang w:val="ru-RU"/>
        </w:rPr>
        <w:t>Т</w:t>
      </w:r>
      <w:proofErr w:type="spellStart"/>
      <w:r w:rsidRPr="00835FC3">
        <w:rPr>
          <w:rFonts w:cs="Ubuntu"/>
          <w:color w:val="000000"/>
          <w:szCs w:val="28"/>
        </w:rPr>
        <w:t>ивортина</w:t>
      </w:r>
      <w:proofErr w:type="spellEnd"/>
      <w:r w:rsidRPr="00835FC3">
        <w:rPr>
          <w:rFonts w:cs="Ubuntu"/>
          <w:color w:val="000000"/>
          <w:szCs w:val="28"/>
        </w:rPr>
        <w:t xml:space="preserve"> по 10 мл (2 </w:t>
      </w:r>
      <w:proofErr w:type="spellStart"/>
      <w:r w:rsidRPr="00835FC3">
        <w:rPr>
          <w:rFonts w:cs="Ubuntu"/>
          <w:color w:val="000000"/>
          <w:szCs w:val="28"/>
        </w:rPr>
        <w:t>мерные</w:t>
      </w:r>
      <w:proofErr w:type="spellEnd"/>
      <w:r w:rsidRPr="00835FC3">
        <w:rPr>
          <w:rFonts w:cs="Ubuntu"/>
          <w:color w:val="000000"/>
          <w:szCs w:val="28"/>
        </w:rPr>
        <w:t xml:space="preserve"> ложки) 2 рази в сутки на </w:t>
      </w:r>
      <w:proofErr w:type="spellStart"/>
      <w:r w:rsidRPr="00835FC3">
        <w:rPr>
          <w:rFonts w:cs="Ubuntu"/>
          <w:color w:val="000000"/>
          <w:szCs w:val="28"/>
        </w:rPr>
        <w:t>протяжении</w:t>
      </w:r>
      <w:proofErr w:type="spellEnd"/>
      <w:r w:rsidRPr="00835FC3">
        <w:rPr>
          <w:rFonts w:cs="Ubuntu"/>
          <w:color w:val="000000"/>
          <w:szCs w:val="28"/>
        </w:rPr>
        <w:t xml:space="preserve"> </w:t>
      </w:r>
      <w:proofErr w:type="spellStart"/>
      <w:r w:rsidRPr="00835FC3">
        <w:rPr>
          <w:rFonts w:cs="Ubuntu"/>
          <w:color w:val="000000"/>
          <w:szCs w:val="28"/>
        </w:rPr>
        <w:t>двух</w:t>
      </w:r>
      <w:proofErr w:type="spellEnd"/>
      <w:r w:rsidRPr="00835FC3">
        <w:rPr>
          <w:rFonts w:cs="Ubuntu"/>
          <w:color w:val="000000"/>
          <w:szCs w:val="28"/>
        </w:rPr>
        <w:t xml:space="preserve"> </w:t>
      </w:r>
      <w:proofErr w:type="spellStart"/>
      <w:r w:rsidRPr="00835FC3">
        <w:rPr>
          <w:rFonts w:cs="Ubuntu"/>
          <w:color w:val="000000"/>
          <w:szCs w:val="28"/>
        </w:rPr>
        <w:t>недель</w:t>
      </w:r>
      <w:proofErr w:type="spellEnd"/>
      <w:r w:rsidRPr="00835FC3">
        <w:rPr>
          <w:rFonts w:cs="Ubuntu"/>
          <w:color w:val="000000"/>
          <w:szCs w:val="28"/>
        </w:rPr>
        <w:t>.</w:t>
      </w:r>
    </w:p>
    <w:p w:rsidR="00BF5A80" w:rsidRPr="006F1CB5" w:rsidRDefault="00BF5A80" w:rsidP="00BF5A80">
      <w:pPr>
        <w:spacing w:after="0" w:line="360" w:lineRule="auto"/>
        <w:ind w:firstLine="567"/>
        <w:jc w:val="both"/>
        <w:rPr>
          <w:szCs w:val="28"/>
          <w:lang w:eastAsia="uk-UA"/>
        </w:rPr>
      </w:pPr>
      <w:proofErr w:type="spellStart"/>
      <w:r w:rsidRPr="006F1CB5">
        <w:rPr>
          <w:rFonts w:cs="Ubuntu"/>
          <w:b/>
          <w:bCs/>
          <w:color w:val="000000"/>
          <w:szCs w:val="28"/>
        </w:rPr>
        <w:t>Результаты</w:t>
      </w:r>
      <w:proofErr w:type="spellEnd"/>
      <w:r w:rsidRPr="006F1CB5">
        <w:rPr>
          <w:rFonts w:cs="Ubuntu"/>
          <w:b/>
          <w:bCs/>
          <w:color w:val="000000"/>
          <w:szCs w:val="28"/>
        </w:rPr>
        <w:t xml:space="preserve">. </w:t>
      </w:r>
      <w:proofErr w:type="spellStart"/>
      <w:r w:rsidRPr="006F1CB5">
        <w:rPr>
          <w:rFonts w:cs="Ubuntu"/>
          <w:color w:val="000000"/>
          <w:szCs w:val="28"/>
        </w:rPr>
        <w:t>Использование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корвитина</w:t>
      </w:r>
      <w:proofErr w:type="spellEnd"/>
      <w:r w:rsidRPr="006F1CB5">
        <w:rPr>
          <w:rFonts w:cs="Ubuntu"/>
          <w:color w:val="000000"/>
          <w:szCs w:val="28"/>
        </w:rPr>
        <w:t xml:space="preserve"> и </w:t>
      </w:r>
      <w:proofErr w:type="spellStart"/>
      <w:r w:rsidRPr="006F1CB5">
        <w:rPr>
          <w:rFonts w:cs="Ubuntu"/>
          <w:color w:val="000000"/>
          <w:szCs w:val="28"/>
        </w:rPr>
        <w:t>тивортина</w:t>
      </w:r>
      <w:proofErr w:type="spellEnd"/>
      <w:r w:rsidRPr="006F1CB5">
        <w:rPr>
          <w:rFonts w:cs="Ubuntu"/>
          <w:color w:val="000000"/>
          <w:szCs w:val="28"/>
        </w:rPr>
        <w:t xml:space="preserve"> на фоне </w:t>
      </w:r>
      <w:proofErr w:type="spellStart"/>
      <w:r w:rsidRPr="006F1CB5">
        <w:rPr>
          <w:rFonts w:cs="Ubuntu"/>
          <w:color w:val="000000"/>
          <w:szCs w:val="28"/>
        </w:rPr>
        <w:t>базисной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терапии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r w:rsidRPr="006F1CB5">
        <w:rPr>
          <w:rFonts w:cs="Ubuntu"/>
          <w:color w:val="000000"/>
          <w:szCs w:val="28"/>
          <w:lang w:val="ru-RU"/>
        </w:rPr>
        <w:t xml:space="preserve">у больных ГБ </w:t>
      </w:r>
      <w:r w:rsidRPr="006F1CB5">
        <w:rPr>
          <w:rFonts w:cs="Ubuntu"/>
          <w:color w:val="000000"/>
          <w:szCs w:val="28"/>
          <w:lang w:val="en-US"/>
        </w:rPr>
        <w:t>II</w:t>
      </w:r>
      <w:r w:rsidRPr="006F1CB5">
        <w:rPr>
          <w:rFonts w:cs="Ubuntu"/>
          <w:color w:val="000000"/>
          <w:szCs w:val="28"/>
          <w:lang w:val="ru-RU"/>
        </w:rPr>
        <w:t xml:space="preserve"> ст. в сочетании с СИБС </w:t>
      </w:r>
      <w:r w:rsidRPr="006F1CB5">
        <w:rPr>
          <w:rFonts w:cs="Ubuntu"/>
          <w:color w:val="000000"/>
          <w:szCs w:val="28"/>
        </w:rPr>
        <w:t xml:space="preserve">привело к </w:t>
      </w:r>
      <w:proofErr w:type="spellStart"/>
      <w:r w:rsidRPr="006F1CB5">
        <w:rPr>
          <w:rFonts w:cs="Ubuntu"/>
          <w:color w:val="000000"/>
          <w:szCs w:val="28"/>
        </w:rPr>
        <w:t>достоверному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r w:rsidRPr="006F1CB5">
        <w:rPr>
          <w:rFonts w:cs="Ubuntu"/>
          <w:color w:val="000000"/>
          <w:szCs w:val="28"/>
          <w:lang w:val="ru-RU"/>
        </w:rPr>
        <w:t xml:space="preserve">улучшению показателей </w:t>
      </w:r>
      <w:proofErr w:type="spellStart"/>
      <w:r w:rsidRPr="006F1CB5">
        <w:rPr>
          <w:rFonts w:cs="Ubuntu"/>
          <w:color w:val="000000"/>
          <w:szCs w:val="28"/>
          <w:lang w:val="ru-RU"/>
        </w:rPr>
        <w:t>липидограммы</w:t>
      </w:r>
      <w:proofErr w:type="spellEnd"/>
      <w:r w:rsidRPr="006F1CB5">
        <w:rPr>
          <w:rFonts w:cs="Ubuntu"/>
          <w:color w:val="000000"/>
          <w:szCs w:val="28"/>
          <w:lang w:val="ru-RU"/>
        </w:rPr>
        <w:t xml:space="preserve">, </w:t>
      </w:r>
      <w:proofErr w:type="spellStart"/>
      <w:r w:rsidRPr="006F1CB5">
        <w:rPr>
          <w:rFonts w:cs="Ubuntu"/>
          <w:color w:val="000000"/>
          <w:szCs w:val="28"/>
        </w:rPr>
        <w:t>сни</w:t>
      </w:r>
      <w:r w:rsidRPr="006F1CB5">
        <w:rPr>
          <w:rFonts w:cs="Ubuntu"/>
          <w:color w:val="000000"/>
          <w:szCs w:val="28"/>
        </w:rPr>
        <w:softHyphen/>
        <w:t>жению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концентрации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глюкозы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плазмы</w:t>
      </w:r>
      <w:proofErr w:type="spellEnd"/>
      <w:r w:rsidRPr="006F1CB5">
        <w:rPr>
          <w:rFonts w:cs="Ubuntu"/>
          <w:color w:val="000000"/>
          <w:szCs w:val="28"/>
        </w:rPr>
        <w:t xml:space="preserve">, </w:t>
      </w:r>
      <w:proofErr w:type="spellStart"/>
      <w:r w:rsidRPr="006F1CB5">
        <w:rPr>
          <w:rFonts w:cs="Ubuntu"/>
          <w:color w:val="000000"/>
          <w:szCs w:val="28"/>
        </w:rPr>
        <w:t>иммунореактивного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инсулина</w:t>
      </w:r>
      <w:proofErr w:type="spellEnd"/>
      <w:r w:rsidRPr="006F1CB5">
        <w:rPr>
          <w:rFonts w:cs="Ubuntu"/>
          <w:color w:val="000000"/>
          <w:szCs w:val="28"/>
          <w:lang w:val="ru-RU"/>
        </w:rPr>
        <w:t xml:space="preserve"> (ИРИ)</w:t>
      </w:r>
      <w:r w:rsidRPr="006F1CB5">
        <w:rPr>
          <w:rFonts w:cs="Ubuntu"/>
          <w:color w:val="000000"/>
          <w:szCs w:val="28"/>
        </w:rPr>
        <w:t xml:space="preserve">, </w:t>
      </w:r>
      <w:proofErr w:type="spellStart"/>
      <w:r w:rsidRPr="006F1CB5">
        <w:rPr>
          <w:rFonts w:cs="Ubuntu"/>
          <w:color w:val="000000"/>
          <w:szCs w:val="28"/>
        </w:rPr>
        <w:t>индекса</w:t>
      </w:r>
      <w:proofErr w:type="spellEnd"/>
      <w:r w:rsidRPr="006F1CB5">
        <w:rPr>
          <w:rFonts w:cs="Ubuntu"/>
          <w:color w:val="000000"/>
          <w:szCs w:val="28"/>
        </w:rPr>
        <w:t xml:space="preserve"> НОМА-ИR, </w:t>
      </w:r>
      <w:proofErr w:type="spellStart"/>
      <w:r w:rsidRPr="006F1CB5">
        <w:rPr>
          <w:rFonts w:cs="Ubuntu"/>
          <w:color w:val="000000"/>
          <w:szCs w:val="28"/>
        </w:rPr>
        <w:t>малонового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альдегида</w:t>
      </w:r>
      <w:proofErr w:type="spellEnd"/>
      <w:r w:rsidRPr="006F1CB5">
        <w:rPr>
          <w:rFonts w:cs="Ubuntu"/>
          <w:color w:val="000000"/>
          <w:szCs w:val="28"/>
        </w:rPr>
        <w:t xml:space="preserve"> (МА) </w:t>
      </w:r>
      <w:proofErr w:type="spellStart"/>
      <w:r w:rsidRPr="006F1CB5">
        <w:rPr>
          <w:rFonts w:cs="Ubuntu"/>
          <w:color w:val="000000"/>
          <w:szCs w:val="28"/>
        </w:rPr>
        <w:t>плазмы</w:t>
      </w:r>
      <w:proofErr w:type="spellEnd"/>
      <w:r w:rsidRPr="006F1CB5">
        <w:rPr>
          <w:rFonts w:cs="Ubuntu"/>
          <w:color w:val="000000"/>
          <w:szCs w:val="28"/>
        </w:rPr>
        <w:t xml:space="preserve"> и </w:t>
      </w:r>
      <w:proofErr w:type="spellStart"/>
      <w:r w:rsidRPr="006F1CB5">
        <w:rPr>
          <w:rFonts w:cs="Ubuntu"/>
          <w:color w:val="000000"/>
          <w:szCs w:val="28"/>
        </w:rPr>
        <w:t>эритроцитов</w:t>
      </w:r>
      <w:proofErr w:type="spellEnd"/>
      <w:r w:rsidRPr="006F1CB5">
        <w:rPr>
          <w:rFonts w:cs="Ubuntu"/>
          <w:color w:val="000000"/>
          <w:szCs w:val="28"/>
        </w:rPr>
        <w:t xml:space="preserve">. </w:t>
      </w:r>
      <w:proofErr w:type="spellStart"/>
      <w:r w:rsidRPr="006F1CB5">
        <w:rPr>
          <w:rFonts w:cs="Ubuntu"/>
          <w:color w:val="000000"/>
          <w:szCs w:val="28"/>
        </w:rPr>
        <w:t>Со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стороны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антиоксидантной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защиты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r>
        <w:rPr>
          <w:rFonts w:cs="Ubuntu"/>
          <w:color w:val="000000"/>
          <w:szCs w:val="28"/>
        </w:rPr>
        <w:t xml:space="preserve">(АОЗ) </w:t>
      </w:r>
      <w:proofErr w:type="spellStart"/>
      <w:r w:rsidRPr="006F1CB5">
        <w:rPr>
          <w:rFonts w:cs="Ubuntu"/>
          <w:color w:val="000000"/>
          <w:szCs w:val="28"/>
        </w:rPr>
        <w:t>отмечено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достоверное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повышение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содержа</w:t>
      </w:r>
      <w:r w:rsidRPr="006F1CB5">
        <w:rPr>
          <w:rFonts w:cs="Ubuntu"/>
          <w:color w:val="000000"/>
          <w:szCs w:val="28"/>
        </w:rPr>
        <w:softHyphen/>
        <w:t>ния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глутатиона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восстановленного</w:t>
      </w:r>
      <w:proofErr w:type="spellEnd"/>
      <w:r w:rsidRPr="006F1CB5">
        <w:rPr>
          <w:rFonts w:cs="Ubuntu"/>
          <w:color w:val="000000"/>
          <w:szCs w:val="28"/>
          <w:lang w:val="ru-RU"/>
        </w:rPr>
        <w:t xml:space="preserve"> (ГВ)</w:t>
      </w:r>
      <w:r w:rsidRPr="006F1CB5">
        <w:rPr>
          <w:rFonts w:cs="Ubuntu"/>
          <w:color w:val="000000"/>
          <w:szCs w:val="28"/>
        </w:rPr>
        <w:t xml:space="preserve">, </w:t>
      </w:r>
      <w:proofErr w:type="spellStart"/>
      <w:r w:rsidRPr="006F1CB5">
        <w:rPr>
          <w:rFonts w:cs="Ubuntu"/>
          <w:color w:val="000000"/>
          <w:szCs w:val="28"/>
        </w:rPr>
        <w:t>повышение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активности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глутатионпероксидазы</w:t>
      </w:r>
      <w:proofErr w:type="spellEnd"/>
      <w:r w:rsidRPr="006F1CB5">
        <w:rPr>
          <w:rFonts w:cs="Ubuntu"/>
          <w:color w:val="000000"/>
          <w:szCs w:val="28"/>
          <w:lang w:val="ru-RU"/>
        </w:rPr>
        <w:t xml:space="preserve"> (ГП)</w:t>
      </w:r>
      <w:r w:rsidRPr="006F1CB5">
        <w:rPr>
          <w:rFonts w:cs="Ubuntu"/>
          <w:color w:val="000000"/>
          <w:szCs w:val="28"/>
        </w:rPr>
        <w:t xml:space="preserve">, </w:t>
      </w:r>
      <w:proofErr w:type="spellStart"/>
      <w:r w:rsidRPr="006F1CB5">
        <w:rPr>
          <w:rFonts w:cs="Ubuntu"/>
          <w:color w:val="000000"/>
          <w:szCs w:val="28"/>
        </w:rPr>
        <w:t>каталазы</w:t>
      </w:r>
      <w:proofErr w:type="spellEnd"/>
      <w:r w:rsidRPr="006F1CB5">
        <w:rPr>
          <w:rFonts w:cs="Ubuntu"/>
          <w:color w:val="000000"/>
          <w:szCs w:val="28"/>
          <w:lang w:val="ru-RU"/>
        </w:rPr>
        <w:t xml:space="preserve"> (КТ)</w:t>
      </w:r>
      <w:r w:rsidRPr="006F1CB5">
        <w:rPr>
          <w:rFonts w:cs="Ubuntu"/>
          <w:color w:val="000000"/>
          <w:szCs w:val="28"/>
        </w:rPr>
        <w:t xml:space="preserve">. </w:t>
      </w:r>
      <w:proofErr w:type="spellStart"/>
      <w:r w:rsidRPr="006F1CB5">
        <w:rPr>
          <w:rFonts w:cs="Ubuntu"/>
          <w:color w:val="000000"/>
          <w:szCs w:val="28"/>
        </w:rPr>
        <w:t>Выявлено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достовер</w:t>
      </w:r>
      <w:r w:rsidRPr="006F1CB5">
        <w:rPr>
          <w:rFonts w:cs="Ubuntu"/>
          <w:color w:val="000000"/>
          <w:szCs w:val="28"/>
        </w:rPr>
        <w:softHyphen/>
        <w:t>ное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повышение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содержания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конечных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метаболитов</w:t>
      </w:r>
      <w:proofErr w:type="spellEnd"/>
      <w:r w:rsidRPr="006F1CB5">
        <w:rPr>
          <w:rFonts w:cs="Ubuntu"/>
          <w:color w:val="000000"/>
          <w:szCs w:val="28"/>
        </w:rPr>
        <w:t xml:space="preserve"> NO на 2</w:t>
      </w:r>
      <w:r w:rsidRPr="006F1CB5">
        <w:rPr>
          <w:rFonts w:cs="Ubuntu"/>
          <w:color w:val="000000"/>
          <w:szCs w:val="28"/>
          <w:lang w:val="ru-RU"/>
        </w:rPr>
        <w:t>2</w:t>
      </w:r>
      <w:r w:rsidRPr="006F1CB5">
        <w:rPr>
          <w:rFonts w:cs="Ubuntu"/>
          <w:color w:val="000000"/>
          <w:szCs w:val="28"/>
        </w:rPr>
        <w:t>,</w:t>
      </w:r>
      <w:r w:rsidRPr="006F1CB5">
        <w:rPr>
          <w:rFonts w:cs="Ubuntu"/>
          <w:color w:val="000000"/>
          <w:szCs w:val="28"/>
          <w:lang w:val="ru-RU"/>
        </w:rPr>
        <w:t>2</w:t>
      </w:r>
      <w:r w:rsidRPr="006F1CB5">
        <w:rPr>
          <w:rFonts w:cs="Ubuntu"/>
          <w:color w:val="000000"/>
          <w:szCs w:val="28"/>
        </w:rPr>
        <w:t xml:space="preserve"> %, </w:t>
      </w:r>
      <w:proofErr w:type="spellStart"/>
      <w:r w:rsidRPr="006F1CB5">
        <w:rPr>
          <w:rFonts w:cs="Ubuntu"/>
          <w:color w:val="000000"/>
          <w:szCs w:val="28"/>
        </w:rPr>
        <w:t>эндотелиального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сосудис</w:t>
      </w:r>
      <w:r w:rsidRPr="006F1CB5">
        <w:rPr>
          <w:rFonts w:cs="Ubuntu"/>
          <w:color w:val="000000"/>
          <w:szCs w:val="28"/>
        </w:rPr>
        <w:softHyphen/>
        <w:t>того</w:t>
      </w:r>
      <w:proofErr w:type="spellEnd"/>
      <w:r w:rsidRPr="006F1CB5">
        <w:rPr>
          <w:rFonts w:cs="Ubuntu"/>
          <w:color w:val="000000"/>
          <w:szCs w:val="28"/>
        </w:rPr>
        <w:t xml:space="preserve"> </w:t>
      </w:r>
      <w:proofErr w:type="spellStart"/>
      <w:r w:rsidRPr="006F1CB5">
        <w:rPr>
          <w:rFonts w:cs="Ubuntu"/>
          <w:color w:val="000000"/>
          <w:szCs w:val="28"/>
        </w:rPr>
        <w:t>фактора</w:t>
      </w:r>
      <w:proofErr w:type="spellEnd"/>
      <w:r w:rsidRPr="006F1CB5">
        <w:rPr>
          <w:rFonts w:cs="Ubuntu"/>
          <w:color w:val="000000"/>
          <w:szCs w:val="28"/>
        </w:rPr>
        <w:t xml:space="preserve"> роста VEGF-А – на </w:t>
      </w:r>
      <w:r w:rsidRPr="006F1CB5">
        <w:rPr>
          <w:rFonts w:cs="Ubuntu"/>
          <w:color w:val="000000"/>
          <w:szCs w:val="28"/>
          <w:lang w:val="ru-RU"/>
        </w:rPr>
        <w:t>38,2</w:t>
      </w:r>
      <w:r w:rsidRPr="006F1CB5">
        <w:rPr>
          <w:rFonts w:cs="Ubuntu"/>
          <w:color w:val="000000"/>
          <w:szCs w:val="28"/>
        </w:rPr>
        <w:t xml:space="preserve">%. </w:t>
      </w:r>
      <w:r w:rsidRPr="006F1CB5">
        <w:rPr>
          <w:rFonts w:cs="Ubuntu"/>
          <w:color w:val="000000"/>
          <w:szCs w:val="28"/>
          <w:lang w:val="ru-RU"/>
        </w:rPr>
        <w:t xml:space="preserve">Более существенной динамика показателей метаболизма оказалась у пациентов с генотипом </w:t>
      </w:r>
      <w:proofErr w:type="spellStart"/>
      <w:r w:rsidRPr="006F1CB5">
        <w:rPr>
          <w:szCs w:val="28"/>
        </w:rPr>
        <w:t>Pro</w:t>
      </w:r>
      <w:proofErr w:type="spellEnd"/>
      <w:r w:rsidRPr="006F1CB5">
        <w:rPr>
          <w:szCs w:val="28"/>
        </w:rPr>
        <w:t>/</w:t>
      </w:r>
      <w:proofErr w:type="spellStart"/>
      <w:r w:rsidRPr="006F1CB5">
        <w:rPr>
          <w:szCs w:val="28"/>
        </w:rPr>
        <w:t>Ala</w:t>
      </w:r>
      <w:proofErr w:type="spellEnd"/>
      <w:r w:rsidRPr="006F1CB5">
        <w:rPr>
          <w:szCs w:val="28"/>
        </w:rPr>
        <w:t xml:space="preserve"> гена PPARγ2. </w:t>
      </w:r>
    </w:p>
    <w:p w:rsidR="00BF5A80" w:rsidRPr="006F1CB5" w:rsidRDefault="00BF5A80" w:rsidP="00BF5A80">
      <w:pPr>
        <w:spacing w:after="0" w:line="360" w:lineRule="auto"/>
        <w:ind w:firstLine="567"/>
        <w:jc w:val="both"/>
        <w:rPr>
          <w:lang w:val="ru-RU"/>
        </w:rPr>
      </w:pPr>
      <w:r w:rsidRPr="00B03BD2">
        <w:rPr>
          <w:b/>
          <w:lang w:val="ru-RU"/>
        </w:rPr>
        <w:t>Ключевые слова:</w:t>
      </w:r>
      <w:r>
        <w:rPr>
          <w:lang w:val="ru-RU"/>
        </w:rPr>
        <w:t xml:space="preserve"> </w:t>
      </w:r>
      <w:r w:rsidRPr="006F1CB5">
        <w:rPr>
          <w:lang w:val="ru-RU"/>
        </w:rPr>
        <w:t xml:space="preserve">гипертоническая болезнь, ишемическая болезнь сердца, показатели метаболизма, </w:t>
      </w:r>
      <w:proofErr w:type="spellStart"/>
      <w:r w:rsidRPr="006F1CB5">
        <w:rPr>
          <w:lang w:val="ru-RU"/>
        </w:rPr>
        <w:t>Корвитин</w:t>
      </w:r>
      <w:proofErr w:type="spellEnd"/>
      <w:r w:rsidRPr="006F1CB5">
        <w:rPr>
          <w:lang w:val="ru-RU"/>
        </w:rPr>
        <w:t xml:space="preserve">, </w:t>
      </w:r>
      <w:proofErr w:type="spellStart"/>
      <w:r w:rsidRPr="006F1CB5">
        <w:rPr>
          <w:lang w:val="ru-RU"/>
        </w:rPr>
        <w:t>Тивортин</w:t>
      </w:r>
      <w:proofErr w:type="spellEnd"/>
      <w:r w:rsidRPr="006F1CB5">
        <w:rPr>
          <w:lang w:val="ru-RU"/>
        </w:rPr>
        <w:t>.</w:t>
      </w:r>
    </w:p>
    <w:p w:rsidR="00BF5A80" w:rsidRPr="00666A29" w:rsidRDefault="00BF5A80" w:rsidP="00BF5A8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F5A80" w:rsidRPr="00FB2966" w:rsidRDefault="00BF5A80" w:rsidP="00BF5A80">
      <w:pPr>
        <w:shd w:val="clear" w:color="auto" w:fill="FFFFFF"/>
        <w:spacing w:after="0"/>
        <w:jc w:val="center"/>
        <w:rPr>
          <w:color w:val="222222"/>
          <w:szCs w:val="28"/>
          <w:lang w:eastAsia="ru-RU"/>
        </w:rPr>
      </w:pPr>
      <w:r w:rsidRPr="002B10CA">
        <w:rPr>
          <w:b/>
          <w:color w:val="222222"/>
          <w:szCs w:val="28"/>
          <w:lang w:eastAsia="ru-RU"/>
        </w:rPr>
        <w:t xml:space="preserve">METABOLITOTROPIC THERAPY IN </w:t>
      </w:r>
      <w:r>
        <w:rPr>
          <w:b/>
          <w:color w:val="222222"/>
          <w:szCs w:val="28"/>
          <w:lang w:val="en-US" w:eastAsia="ru-RU"/>
        </w:rPr>
        <w:t xml:space="preserve">THE </w:t>
      </w:r>
      <w:r>
        <w:rPr>
          <w:b/>
          <w:color w:val="222222"/>
          <w:szCs w:val="28"/>
          <w:lang w:eastAsia="ru-RU"/>
        </w:rPr>
        <w:t xml:space="preserve">TREATMENT OF PATIENTS WITH </w:t>
      </w:r>
      <w:r>
        <w:rPr>
          <w:b/>
          <w:color w:val="222222"/>
          <w:szCs w:val="28"/>
          <w:lang w:val="en-US" w:eastAsia="ru-RU"/>
        </w:rPr>
        <w:t xml:space="preserve">THE SECOND STAGE </w:t>
      </w:r>
      <w:r>
        <w:rPr>
          <w:b/>
          <w:color w:val="222222"/>
          <w:szCs w:val="28"/>
          <w:lang w:eastAsia="ru-RU"/>
        </w:rPr>
        <w:t xml:space="preserve">ESSENTIAL </w:t>
      </w:r>
      <w:r w:rsidRPr="002B10CA">
        <w:rPr>
          <w:b/>
          <w:color w:val="222222"/>
          <w:szCs w:val="28"/>
          <w:lang w:eastAsia="ru-RU"/>
        </w:rPr>
        <w:t xml:space="preserve">HYPERTENSION </w:t>
      </w:r>
      <w:r>
        <w:rPr>
          <w:b/>
          <w:color w:val="222222"/>
          <w:szCs w:val="28"/>
          <w:lang w:val="en-US" w:eastAsia="ru-RU"/>
        </w:rPr>
        <w:t>COMBINED</w:t>
      </w:r>
      <w:r>
        <w:rPr>
          <w:b/>
          <w:color w:val="222222"/>
          <w:szCs w:val="28"/>
          <w:lang w:eastAsia="ru-RU"/>
        </w:rPr>
        <w:t xml:space="preserve"> WITH </w:t>
      </w:r>
      <w:r w:rsidRPr="002B10CA">
        <w:rPr>
          <w:b/>
          <w:color w:val="222222"/>
          <w:szCs w:val="28"/>
          <w:lang w:eastAsia="ru-RU"/>
        </w:rPr>
        <w:t>STABLE ISCHEMIC HEART DISEASE</w:t>
      </w:r>
      <w:r>
        <w:rPr>
          <w:b/>
          <w:color w:val="222222"/>
          <w:szCs w:val="28"/>
          <w:lang w:val="en-US" w:eastAsia="ru-RU"/>
        </w:rPr>
        <w:t xml:space="preserve">   </w:t>
      </w:r>
      <w:r w:rsidRPr="002B10CA">
        <w:rPr>
          <w:color w:val="222222"/>
          <w:szCs w:val="28"/>
          <w:lang w:val="en-US" w:eastAsia="ru-RU"/>
        </w:rPr>
        <w:t> </w:t>
      </w:r>
    </w:p>
    <w:p w:rsidR="00BF5A80" w:rsidRPr="00FB2966" w:rsidRDefault="00BF5A80" w:rsidP="00BF5A80">
      <w:pPr>
        <w:shd w:val="clear" w:color="auto" w:fill="FFFFFF"/>
        <w:spacing w:after="0"/>
        <w:jc w:val="center"/>
        <w:rPr>
          <w:b/>
          <w:color w:val="222222"/>
          <w:szCs w:val="28"/>
          <w:lang w:eastAsia="ru-RU"/>
        </w:rPr>
      </w:pPr>
      <w:r>
        <w:rPr>
          <w:b/>
          <w:color w:val="222222"/>
          <w:szCs w:val="28"/>
          <w:lang w:val="en-US" w:eastAsia="ru-RU"/>
        </w:rPr>
        <w:t>V</w:t>
      </w:r>
      <w:r>
        <w:rPr>
          <w:b/>
          <w:color w:val="222222"/>
          <w:szCs w:val="28"/>
          <w:lang w:eastAsia="ru-RU"/>
        </w:rPr>
        <w:t>.</w:t>
      </w:r>
      <w:r>
        <w:rPr>
          <w:b/>
          <w:color w:val="222222"/>
          <w:szCs w:val="28"/>
          <w:lang w:val="en-US" w:eastAsia="ru-RU"/>
        </w:rPr>
        <w:t>V</w:t>
      </w:r>
      <w:r>
        <w:rPr>
          <w:b/>
          <w:color w:val="222222"/>
          <w:szCs w:val="28"/>
          <w:lang w:eastAsia="ru-RU"/>
        </w:rPr>
        <w:t xml:space="preserve">. </w:t>
      </w:r>
      <w:proofErr w:type="spellStart"/>
      <w:r>
        <w:rPr>
          <w:b/>
          <w:color w:val="222222"/>
          <w:szCs w:val="28"/>
          <w:lang w:val="en-US" w:eastAsia="ru-RU"/>
        </w:rPr>
        <w:t>Boiko</w:t>
      </w:r>
      <w:proofErr w:type="spellEnd"/>
      <w:r>
        <w:rPr>
          <w:b/>
          <w:color w:val="222222"/>
          <w:szCs w:val="28"/>
          <w:lang w:eastAsia="ru-RU"/>
        </w:rPr>
        <w:t xml:space="preserve">, </w:t>
      </w:r>
      <w:r>
        <w:rPr>
          <w:b/>
          <w:color w:val="222222"/>
          <w:szCs w:val="28"/>
          <w:lang w:val="en-US" w:eastAsia="ru-RU"/>
        </w:rPr>
        <w:t>S</w:t>
      </w:r>
      <w:r>
        <w:rPr>
          <w:b/>
          <w:color w:val="222222"/>
          <w:szCs w:val="28"/>
          <w:lang w:eastAsia="ru-RU"/>
        </w:rPr>
        <w:t>.</w:t>
      </w:r>
      <w:r>
        <w:rPr>
          <w:b/>
          <w:color w:val="222222"/>
          <w:szCs w:val="28"/>
          <w:lang w:val="en-US" w:eastAsia="ru-RU"/>
        </w:rPr>
        <w:t>V</w:t>
      </w:r>
      <w:r>
        <w:rPr>
          <w:b/>
          <w:color w:val="222222"/>
          <w:szCs w:val="28"/>
          <w:lang w:eastAsia="ru-RU"/>
        </w:rPr>
        <w:t xml:space="preserve">. </w:t>
      </w:r>
      <w:proofErr w:type="spellStart"/>
      <w:r>
        <w:rPr>
          <w:b/>
          <w:color w:val="222222"/>
          <w:szCs w:val="28"/>
          <w:lang w:val="en-US" w:eastAsia="ru-RU"/>
        </w:rPr>
        <w:t>Biletskyi</w:t>
      </w:r>
      <w:proofErr w:type="spellEnd"/>
      <w:r w:rsidRPr="00FB2966">
        <w:rPr>
          <w:b/>
          <w:color w:val="222222"/>
          <w:szCs w:val="28"/>
          <w:lang w:eastAsia="ru-RU"/>
        </w:rPr>
        <w:t xml:space="preserve"> </w:t>
      </w:r>
    </w:p>
    <w:p w:rsidR="00BF5A80" w:rsidRPr="00FB2966" w:rsidRDefault="00BF5A80" w:rsidP="00BF5A80">
      <w:pPr>
        <w:spacing w:after="0"/>
        <w:rPr>
          <w:b/>
          <w:sz w:val="24"/>
          <w:szCs w:val="24"/>
          <w:lang w:eastAsia="uk-UA"/>
        </w:rPr>
      </w:pPr>
    </w:p>
    <w:p w:rsidR="00BF5A80" w:rsidRPr="00A55C23" w:rsidRDefault="00BF5A80" w:rsidP="00BF5A80">
      <w:pPr>
        <w:spacing w:after="0" w:line="240" w:lineRule="auto"/>
        <w:jc w:val="center"/>
        <w:rPr>
          <w:i/>
          <w:szCs w:val="24"/>
          <w:lang w:eastAsia="ru-RU"/>
        </w:rPr>
      </w:pPr>
      <w:r>
        <w:rPr>
          <w:i/>
          <w:szCs w:val="24"/>
          <w:lang w:val="en-US" w:eastAsia="ru-RU"/>
        </w:rPr>
        <w:t>HSEI</w:t>
      </w:r>
      <w:r w:rsidRPr="002B10CA">
        <w:rPr>
          <w:i/>
          <w:szCs w:val="24"/>
          <w:lang w:eastAsia="ru-RU"/>
        </w:rPr>
        <w:t xml:space="preserve"> </w:t>
      </w:r>
      <w:r>
        <w:rPr>
          <w:i/>
          <w:szCs w:val="24"/>
          <w:lang w:val="en-US" w:eastAsia="ru-RU"/>
        </w:rPr>
        <w:t>of</w:t>
      </w:r>
      <w:r w:rsidRPr="002B10CA">
        <w:rPr>
          <w:i/>
          <w:szCs w:val="24"/>
          <w:lang w:eastAsia="ru-RU"/>
        </w:rPr>
        <w:t xml:space="preserve"> </w:t>
      </w:r>
      <w:r>
        <w:rPr>
          <w:i/>
          <w:szCs w:val="24"/>
          <w:lang w:val="en-US" w:eastAsia="ru-RU"/>
        </w:rPr>
        <w:t>Ukraine</w:t>
      </w:r>
      <w:r w:rsidRPr="00A55C23">
        <w:rPr>
          <w:i/>
          <w:szCs w:val="24"/>
          <w:lang w:eastAsia="ru-RU"/>
        </w:rPr>
        <w:t xml:space="preserve"> «</w:t>
      </w:r>
      <w:proofErr w:type="spellStart"/>
      <w:r>
        <w:rPr>
          <w:i/>
          <w:szCs w:val="24"/>
          <w:lang w:val="en-US" w:eastAsia="ru-RU"/>
        </w:rPr>
        <w:t>Bukovinian</w:t>
      </w:r>
      <w:proofErr w:type="spellEnd"/>
      <w:r w:rsidRPr="002B10CA">
        <w:rPr>
          <w:i/>
          <w:szCs w:val="24"/>
          <w:lang w:eastAsia="ru-RU"/>
        </w:rPr>
        <w:t xml:space="preserve"> </w:t>
      </w:r>
      <w:r>
        <w:rPr>
          <w:i/>
          <w:szCs w:val="24"/>
          <w:lang w:val="en-US" w:eastAsia="ru-RU"/>
        </w:rPr>
        <w:t>State</w:t>
      </w:r>
      <w:r w:rsidRPr="002B10CA">
        <w:rPr>
          <w:i/>
          <w:szCs w:val="24"/>
          <w:lang w:eastAsia="ru-RU"/>
        </w:rPr>
        <w:t xml:space="preserve"> </w:t>
      </w:r>
      <w:r>
        <w:rPr>
          <w:i/>
          <w:szCs w:val="24"/>
          <w:lang w:val="en-US" w:eastAsia="ru-RU"/>
        </w:rPr>
        <w:t>Medical</w:t>
      </w:r>
      <w:r w:rsidRPr="002B10CA">
        <w:rPr>
          <w:i/>
          <w:szCs w:val="24"/>
          <w:lang w:eastAsia="ru-RU"/>
        </w:rPr>
        <w:t xml:space="preserve"> </w:t>
      </w:r>
      <w:r>
        <w:rPr>
          <w:i/>
          <w:szCs w:val="24"/>
          <w:lang w:val="en-US" w:eastAsia="ru-RU"/>
        </w:rPr>
        <w:t>University</w:t>
      </w:r>
      <w:r w:rsidRPr="00A55C23">
        <w:rPr>
          <w:i/>
          <w:szCs w:val="24"/>
          <w:lang w:eastAsia="ru-RU"/>
        </w:rPr>
        <w:t xml:space="preserve">», </w:t>
      </w:r>
    </w:p>
    <w:p w:rsidR="00BF5A80" w:rsidRPr="00F413FF" w:rsidRDefault="00BF5A80" w:rsidP="00BF5A80">
      <w:pPr>
        <w:spacing w:after="0" w:line="240" w:lineRule="auto"/>
        <w:jc w:val="center"/>
        <w:rPr>
          <w:i/>
          <w:szCs w:val="24"/>
          <w:lang w:eastAsia="ru-RU"/>
        </w:rPr>
      </w:pPr>
      <w:r>
        <w:rPr>
          <w:i/>
          <w:szCs w:val="24"/>
          <w:lang w:val="en-US" w:eastAsia="ru-RU"/>
        </w:rPr>
        <w:t>Chernivtsi</w:t>
      </w:r>
    </w:p>
    <w:p w:rsidR="00BF5A80" w:rsidRDefault="00BF5A80" w:rsidP="00BF5A80">
      <w:pPr>
        <w:tabs>
          <w:tab w:val="left" w:pos="567"/>
        </w:tabs>
        <w:spacing w:after="0" w:line="360" w:lineRule="auto"/>
        <w:ind w:firstLine="567"/>
        <w:jc w:val="both"/>
        <w:rPr>
          <w:b/>
          <w:szCs w:val="28"/>
          <w:lang w:val="en-US" w:eastAsia="ru-RU"/>
        </w:rPr>
      </w:pPr>
    </w:p>
    <w:p w:rsidR="00BF5A80" w:rsidRDefault="00BF5A80" w:rsidP="00BF5A80">
      <w:pPr>
        <w:tabs>
          <w:tab w:val="left" w:pos="567"/>
        </w:tabs>
        <w:spacing w:after="0" w:line="360" w:lineRule="auto"/>
        <w:ind w:firstLine="567"/>
        <w:jc w:val="both"/>
        <w:rPr>
          <w:szCs w:val="28"/>
          <w:lang w:val="en-US" w:eastAsia="ru-RU"/>
        </w:rPr>
      </w:pPr>
      <w:r>
        <w:rPr>
          <w:b/>
          <w:szCs w:val="28"/>
          <w:lang w:val="en-US" w:eastAsia="ru-RU"/>
        </w:rPr>
        <w:t>Abstract</w:t>
      </w:r>
      <w:r w:rsidRPr="00DF5159">
        <w:rPr>
          <w:b/>
          <w:szCs w:val="28"/>
          <w:lang w:eastAsia="ru-RU"/>
        </w:rPr>
        <w:t xml:space="preserve">. </w:t>
      </w:r>
      <w:r w:rsidRPr="00F413FF">
        <w:rPr>
          <w:szCs w:val="28"/>
          <w:lang w:val="en-US" w:eastAsia="ru-RU"/>
        </w:rPr>
        <w:t xml:space="preserve">In the treatment of </w:t>
      </w:r>
      <w:r>
        <w:rPr>
          <w:szCs w:val="28"/>
          <w:lang w:val="en-US" w:eastAsia="ru-RU"/>
        </w:rPr>
        <w:t xml:space="preserve">arterial </w:t>
      </w:r>
      <w:r w:rsidRPr="00F413FF">
        <w:rPr>
          <w:szCs w:val="28"/>
          <w:lang w:val="en-US" w:eastAsia="ru-RU"/>
        </w:rPr>
        <w:t>hypertension (</w:t>
      </w:r>
      <w:r>
        <w:rPr>
          <w:szCs w:val="28"/>
          <w:lang w:val="en-US" w:eastAsia="ru-RU"/>
        </w:rPr>
        <w:t>AH</w:t>
      </w:r>
      <w:r w:rsidRPr="00F413FF">
        <w:rPr>
          <w:szCs w:val="28"/>
          <w:lang w:val="en-US" w:eastAsia="ru-RU"/>
        </w:rPr>
        <w:t xml:space="preserve">), stable </w:t>
      </w:r>
      <w:r>
        <w:rPr>
          <w:szCs w:val="28"/>
          <w:lang w:val="en-US" w:eastAsia="ru-RU"/>
        </w:rPr>
        <w:t>ischemic</w:t>
      </w:r>
      <w:r w:rsidRPr="00F413FF">
        <w:rPr>
          <w:szCs w:val="28"/>
          <w:lang w:val="en-US" w:eastAsia="ru-RU"/>
        </w:rPr>
        <w:t xml:space="preserve"> heart disease (</w:t>
      </w:r>
      <w:r>
        <w:rPr>
          <w:szCs w:val="28"/>
          <w:lang w:val="en-US" w:eastAsia="ru-RU"/>
        </w:rPr>
        <w:t>SIHD</w:t>
      </w:r>
      <w:r w:rsidRPr="00F413FF">
        <w:rPr>
          <w:szCs w:val="28"/>
          <w:lang w:val="en-US" w:eastAsia="ru-RU"/>
        </w:rPr>
        <w:t>), correction of metabolic factors of cardiovascular risk using antioxidants and nitrogen monoxide (NO) donor agents is extremely important.</w:t>
      </w:r>
    </w:p>
    <w:p w:rsidR="00BF5A80" w:rsidRPr="00F413FF" w:rsidRDefault="00BF5A80" w:rsidP="00BF5A80">
      <w:pPr>
        <w:tabs>
          <w:tab w:val="left" w:pos="567"/>
        </w:tabs>
        <w:spacing w:after="0" w:line="360" w:lineRule="auto"/>
        <w:ind w:firstLine="567"/>
        <w:jc w:val="both"/>
        <w:rPr>
          <w:szCs w:val="28"/>
          <w:lang w:val="en-US" w:eastAsia="ru-RU"/>
        </w:rPr>
      </w:pPr>
      <w:r w:rsidRPr="007B4CAF">
        <w:rPr>
          <w:b/>
          <w:szCs w:val="28"/>
          <w:lang w:val="en-US" w:eastAsia="ru-RU"/>
        </w:rPr>
        <w:t>Objective</w:t>
      </w:r>
      <w:r w:rsidRPr="007B4CAF">
        <w:rPr>
          <w:szCs w:val="28"/>
          <w:lang w:val="en-US" w:eastAsia="ru-RU"/>
        </w:rPr>
        <w:t xml:space="preserve"> </w:t>
      </w:r>
      <w:r>
        <w:rPr>
          <w:szCs w:val="28"/>
          <w:lang w:val="en-US" w:eastAsia="ru-RU"/>
        </w:rPr>
        <w:t xml:space="preserve">of the </w:t>
      </w:r>
      <w:r w:rsidRPr="007B4CAF">
        <w:rPr>
          <w:szCs w:val="28"/>
          <w:lang w:val="en-US" w:eastAsia="ru-RU"/>
        </w:rPr>
        <w:t xml:space="preserve">work was to investigate the effectiveness of treatment of patients with </w:t>
      </w:r>
      <w:r>
        <w:rPr>
          <w:szCs w:val="28"/>
          <w:lang w:val="en-US" w:eastAsia="ru-RU"/>
        </w:rPr>
        <w:t>AH</w:t>
      </w:r>
      <w:r w:rsidRPr="007B4CAF">
        <w:rPr>
          <w:szCs w:val="28"/>
          <w:lang w:val="en-US" w:eastAsia="ru-RU"/>
        </w:rPr>
        <w:t xml:space="preserve"> </w:t>
      </w:r>
      <w:r>
        <w:rPr>
          <w:szCs w:val="28"/>
          <w:lang w:val="en-US" w:eastAsia="ru-RU"/>
        </w:rPr>
        <w:t xml:space="preserve">of the </w:t>
      </w:r>
      <w:r w:rsidRPr="007B4CAF">
        <w:rPr>
          <w:szCs w:val="28"/>
          <w:lang w:val="en-US" w:eastAsia="ru-RU"/>
        </w:rPr>
        <w:t xml:space="preserve">II stage in conjunction with </w:t>
      </w:r>
      <w:r>
        <w:rPr>
          <w:szCs w:val="28"/>
          <w:lang w:val="en-US" w:eastAsia="ru-RU"/>
        </w:rPr>
        <w:t>SI</w:t>
      </w:r>
      <w:r w:rsidRPr="007B4CAF">
        <w:rPr>
          <w:szCs w:val="28"/>
          <w:lang w:val="en-US" w:eastAsia="ru-RU"/>
        </w:rPr>
        <w:t>H</w:t>
      </w:r>
      <w:r>
        <w:rPr>
          <w:szCs w:val="28"/>
          <w:lang w:val="en-US" w:eastAsia="ru-RU"/>
        </w:rPr>
        <w:t>D</w:t>
      </w:r>
      <w:r w:rsidRPr="007B4CAF">
        <w:rPr>
          <w:szCs w:val="28"/>
          <w:lang w:val="en-US" w:eastAsia="ru-RU"/>
        </w:rPr>
        <w:t xml:space="preserve"> by influencing</w:t>
      </w:r>
      <w:r>
        <w:rPr>
          <w:szCs w:val="28"/>
          <w:lang w:val="en-US" w:eastAsia="ru-RU"/>
        </w:rPr>
        <w:t xml:space="preserve"> with</w:t>
      </w:r>
      <w:r w:rsidRPr="007B4CAF">
        <w:rPr>
          <w:szCs w:val="28"/>
          <w:lang w:val="en-US" w:eastAsia="ru-RU"/>
        </w:rPr>
        <w:t xml:space="preserve"> </w:t>
      </w:r>
      <w:r>
        <w:rPr>
          <w:szCs w:val="28"/>
          <w:lang w:val="en-US" w:eastAsia="ru-RU"/>
        </w:rPr>
        <w:t>Q</w:t>
      </w:r>
      <w:r w:rsidRPr="007B4CAF">
        <w:rPr>
          <w:szCs w:val="28"/>
          <w:lang w:val="en-US" w:eastAsia="ru-RU"/>
        </w:rPr>
        <w:t>uercetin (</w:t>
      </w:r>
      <w:proofErr w:type="spellStart"/>
      <w:r w:rsidRPr="007B4CAF">
        <w:rPr>
          <w:szCs w:val="28"/>
          <w:lang w:val="en-US" w:eastAsia="ru-RU"/>
        </w:rPr>
        <w:t>Corvitin</w:t>
      </w:r>
      <w:proofErr w:type="spellEnd"/>
      <w:r w:rsidRPr="007B4CAF">
        <w:rPr>
          <w:szCs w:val="28"/>
          <w:lang w:val="en-US" w:eastAsia="ru-RU"/>
        </w:rPr>
        <w:t xml:space="preserve">) and </w:t>
      </w:r>
      <w:r>
        <w:rPr>
          <w:szCs w:val="28"/>
          <w:lang w:val="en-US" w:eastAsia="ru-RU"/>
        </w:rPr>
        <w:t>A</w:t>
      </w:r>
      <w:r w:rsidRPr="007B4CAF">
        <w:rPr>
          <w:szCs w:val="28"/>
          <w:lang w:val="en-US" w:eastAsia="ru-RU"/>
        </w:rPr>
        <w:t>rginine hydrochloride (</w:t>
      </w:r>
      <w:proofErr w:type="spellStart"/>
      <w:r w:rsidRPr="007B4CAF">
        <w:rPr>
          <w:szCs w:val="28"/>
          <w:lang w:val="en-US" w:eastAsia="ru-RU"/>
        </w:rPr>
        <w:t>Tivortin</w:t>
      </w:r>
      <w:proofErr w:type="spellEnd"/>
      <w:r w:rsidRPr="007B4CAF">
        <w:rPr>
          <w:szCs w:val="28"/>
          <w:lang w:val="en-US" w:eastAsia="ru-RU"/>
        </w:rPr>
        <w:t>)</w:t>
      </w:r>
      <w:r>
        <w:rPr>
          <w:szCs w:val="28"/>
          <w:lang w:val="en-US" w:eastAsia="ru-RU"/>
        </w:rPr>
        <w:t xml:space="preserve"> upon </w:t>
      </w:r>
      <w:r w:rsidRPr="007B4CAF">
        <w:rPr>
          <w:szCs w:val="28"/>
          <w:lang w:val="en-US" w:eastAsia="ru-RU"/>
        </w:rPr>
        <w:t>the lipid and carbohydrate metabolism indices, the intensity of peroxide lipid oxidation (LPO</w:t>
      </w:r>
      <w:r>
        <w:rPr>
          <w:szCs w:val="28"/>
          <w:lang w:val="en-US" w:eastAsia="ru-RU"/>
        </w:rPr>
        <w:t>), and the endothelial function</w:t>
      </w:r>
      <w:r w:rsidRPr="007B4CAF">
        <w:rPr>
          <w:szCs w:val="28"/>
          <w:lang w:val="en-US" w:eastAsia="ru-RU"/>
        </w:rPr>
        <w:t>.</w:t>
      </w:r>
    </w:p>
    <w:p w:rsidR="00BF5A80" w:rsidRDefault="00BF5A80" w:rsidP="00BF5A8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Cs w:val="24"/>
          <w:lang w:val="en-US" w:eastAsia="ru-RU"/>
        </w:rPr>
      </w:pPr>
      <w:r>
        <w:rPr>
          <w:b/>
          <w:szCs w:val="24"/>
          <w:lang w:val="en-US" w:eastAsia="ru-RU"/>
        </w:rPr>
        <w:t>Material</w:t>
      </w:r>
      <w:r w:rsidRPr="00F413FF">
        <w:rPr>
          <w:b/>
          <w:szCs w:val="24"/>
          <w:lang w:eastAsia="ru-RU"/>
        </w:rPr>
        <w:t xml:space="preserve"> </w:t>
      </w:r>
      <w:r>
        <w:rPr>
          <w:b/>
          <w:szCs w:val="24"/>
          <w:lang w:val="en-US" w:eastAsia="ru-RU"/>
        </w:rPr>
        <w:t>and</w:t>
      </w:r>
      <w:r w:rsidRPr="00F413FF">
        <w:rPr>
          <w:b/>
          <w:szCs w:val="24"/>
          <w:lang w:eastAsia="ru-RU"/>
        </w:rPr>
        <w:t xml:space="preserve"> </w:t>
      </w:r>
      <w:r>
        <w:rPr>
          <w:b/>
          <w:szCs w:val="24"/>
          <w:lang w:val="en-US" w:eastAsia="ru-RU"/>
        </w:rPr>
        <w:t>methods</w:t>
      </w:r>
      <w:r w:rsidRPr="0022425B">
        <w:rPr>
          <w:b/>
          <w:szCs w:val="24"/>
          <w:lang w:eastAsia="ru-RU"/>
        </w:rPr>
        <w:t xml:space="preserve">. </w:t>
      </w:r>
      <w:r w:rsidRPr="007B4CAF">
        <w:rPr>
          <w:szCs w:val="24"/>
          <w:lang w:val="en-US" w:eastAsia="ru-RU"/>
        </w:rPr>
        <w:t>The study in</w:t>
      </w:r>
      <w:r>
        <w:rPr>
          <w:szCs w:val="24"/>
          <w:lang w:val="en-US" w:eastAsia="ru-RU"/>
        </w:rPr>
        <w:t>volv</w:t>
      </w:r>
      <w:r w:rsidRPr="007B4CAF">
        <w:rPr>
          <w:szCs w:val="24"/>
          <w:lang w:val="en-US" w:eastAsia="ru-RU"/>
        </w:rPr>
        <w:t xml:space="preserve">ed 56 patients with </w:t>
      </w:r>
      <w:r>
        <w:rPr>
          <w:szCs w:val="24"/>
          <w:lang w:val="en-US" w:eastAsia="ru-RU"/>
        </w:rPr>
        <w:t>AH of the</w:t>
      </w:r>
      <w:r w:rsidRPr="007B4CAF">
        <w:rPr>
          <w:szCs w:val="24"/>
          <w:lang w:val="en-US" w:eastAsia="ru-RU"/>
        </w:rPr>
        <w:t xml:space="preserve"> II st</w:t>
      </w:r>
      <w:r>
        <w:rPr>
          <w:szCs w:val="24"/>
          <w:lang w:val="en-US" w:eastAsia="ru-RU"/>
        </w:rPr>
        <w:t>age</w:t>
      </w:r>
      <w:r w:rsidRPr="007B4CAF">
        <w:rPr>
          <w:szCs w:val="24"/>
          <w:lang w:val="en-US" w:eastAsia="ru-RU"/>
        </w:rPr>
        <w:t xml:space="preserve"> </w:t>
      </w:r>
      <w:r>
        <w:rPr>
          <w:szCs w:val="24"/>
          <w:lang w:val="en-US" w:eastAsia="ru-RU"/>
        </w:rPr>
        <w:t>concomitant</w:t>
      </w:r>
      <w:r w:rsidRPr="007B4CAF">
        <w:rPr>
          <w:szCs w:val="24"/>
          <w:lang w:val="en-US" w:eastAsia="ru-RU"/>
        </w:rPr>
        <w:t xml:space="preserve"> with SIHD, which were randomized into two groups. The </w:t>
      </w:r>
      <w:r>
        <w:rPr>
          <w:szCs w:val="24"/>
          <w:lang w:val="en-US" w:eastAsia="ru-RU"/>
        </w:rPr>
        <w:t>1</w:t>
      </w:r>
      <w:r w:rsidRPr="007B4CAF">
        <w:rPr>
          <w:szCs w:val="24"/>
          <w:vertAlign w:val="superscript"/>
          <w:lang w:val="en-US" w:eastAsia="ru-RU"/>
        </w:rPr>
        <w:t>st</w:t>
      </w:r>
      <w:r>
        <w:rPr>
          <w:szCs w:val="24"/>
          <w:lang w:val="en-US" w:eastAsia="ru-RU"/>
        </w:rPr>
        <w:t xml:space="preserve"> </w:t>
      </w:r>
      <w:r w:rsidRPr="007B4CAF">
        <w:rPr>
          <w:szCs w:val="24"/>
          <w:lang w:val="en-US" w:eastAsia="ru-RU"/>
        </w:rPr>
        <w:t xml:space="preserve">group consisted </w:t>
      </w:r>
      <w:r w:rsidRPr="007B4CAF">
        <w:rPr>
          <w:szCs w:val="24"/>
          <w:lang w:val="en-US" w:eastAsia="ru-RU"/>
        </w:rPr>
        <w:lastRenderedPageBreak/>
        <w:t>of 24 patients, who received a common baseline therapy (BT). Patients of the 2</w:t>
      </w:r>
      <w:r w:rsidRPr="007B4CAF">
        <w:rPr>
          <w:szCs w:val="24"/>
          <w:vertAlign w:val="superscript"/>
          <w:lang w:val="en-US" w:eastAsia="ru-RU"/>
        </w:rPr>
        <w:t>nd</w:t>
      </w:r>
      <w:r>
        <w:rPr>
          <w:szCs w:val="24"/>
          <w:lang w:val="en-US" w:eastAsia="ru-RU"/>
        </w:rPr>
        <w:t xml:space="preserve"> </w:t>
      </w:r>
      <w:r w:rsidRPr="007B4CAF">
        <w:rPr>
          <w:szCs w:val="24"/>
          <w:lang w:val="en-US" w:eastAsia="ru-RU"/>
        </w:rPr>
        <w:t>group (32 persons)</w:t>
      </w:r>
      <w:r>
        <w:rPr>
          <w:szCs w:val="24"/>
          <w:lang w:val="en-US" w:eastAsia="ru-RU"/>
        </w:rPr>
        <w:t xml:space="preserve"> received </w:t>
      </w:r>
      <w:r w:rsidRPr="007B4CAF">
        <w:rPr>
          <w:szCs w:val="24"/>
          <w:lang w:val="en-US" w:eastAsia="ru-RU"/>
        </w:rPr>
        <w:t xml:space="preserve">infusion </w:t>
      </w:r>
      <w:proofErr w:type="spellStart"/>
      <w:r w:rsidRPr="007B4CAF">
        <w:rPr>
          <w:szCs w:val="24"/>
          <w:lang w:val="en-US" w:eastAsia="ru-RU"/>
        </w:rPr>
        <w:t>Corvit</w:t>
      </w:r>
      <w:r>
        <w:rPr>
          <w:szCs w:val="24"/>
          <w:lang w:val="en-US" w:eastAsia="ru-RU"/>
        </w:rPr>
        <w:t>i</w:t>
      </w:r>
      <w:r w:rsidRPr="007B4CAF">
        <w:rPr>
          <w:szCs w:val="24"/>
          <w:lang w:val="en-US" w:eastAsia="ru-RU"/>
        </w:rPr>
        <w:t>n</w:t>
      </w:r>
      <w:proofErr w:type="spellEnd"/>
      <w:r w:rsidRPr="007B4CAF">
        <w:rPr>
          <w:szCs w:val="24"/>
          <w:lang w:val="en-US" w:eastAsia="ru-RU"/>
        </w:rPr>
        <w:t xml:space="preserve"> therapy (0.5 g) besides BT</w:t>
      </w:r>
      <w:r>
        <w:rPr>
          <w:szCs w:val="24"/>
          <w:lang w:val="en-US" w:eastAsia="ru-RU"/>
        </w:rPr>
        <w:t xml:space="preserve"> during</w:t>
      </w:r>
      <w:r w:rsidRPr="007B4CAF">
        <w:rPr>
          <w:szCs w:val="24"/>
          <w:lang w:val="en-US" w:eastAsia="ru-RU"/>
        </w:rPr>
        <w:t xml:space="preserve"> the first 6 days</w:t>
      </w:r>
      <w:r>
        <w:rPr>
          <w:szCs w:val="24"/>
          <w:lang w:val="en-US" w:eastAsia="ru-RU"/>
        </w:rPr>
        <w:t>,</w:t>
      </w:r>
      <w:r w:rsidRPr="007B4CAF">
        <w:rPr>
          <w:szCs w:val="24"/>
          <w:lang w:val="en-US" w:eastAsia="ru-RU"/>
        </w:rPr>
        <w:t xml:space="preserve"> and 100 ml of intravenous </w:t>
      </w:r>
      <w:proofErr w:type="spellStart"/>
      <w:r>
        <w:rPr>
          <w:szCs w:val="24"/>
          <w:lang w:val="en-US" w:eastAsia="ru-RU"/>
        </w:rPr>
        <w:t>Tivortin</w:t>
      </w:r>
      <w:proofErr w:type="spellEnd"/>
      <w:r w:rsidRPr="007B4CAF">
        <w:rPr>
          <w:szCs w:val="24"/>
          <w:lang w:val="en-US" w:eastAsia="ru-RU"/>
        </w:rPr>
        <w:t xml:space="preserve"> solution </w:t>
      </w:r>
      <w:r>
        <w:rPr>
          <w:szCs w:val="24"/>
          <w:lang w:val="en-US" w:eastAsia="ru-RU"/>
        </w:rPr>
        <w:t>during</w:t>
      </w:r>
      <w:r w:rsidRPr="007B4CAF">
        <w:rPr>
          <w:szCs w:val="24"/>
          <w:lang w:val="en-US" w:eastAsia="ru-RU"/>
        </w:rPr>
        <w:t xml:space="preserve"> the next 6 days</w:t>
      </w:r>
      <w:r>
        <w:rPr>
          <w:szCs w:val="24"/>
          <w:lang w:val="en-US" w:eastAsia="ru-RU"/>
        </w:rPr>
        <w:t>,</w:t>
      </w:r>
      <w:r w:rsidRPr="007B4CAF">
        <w:rPr>
          <w:szCs w:val="24"/>
          <w:lang w:val="en-US" w:eastAsia="ru-RU"/>
        </w:rPr>
        <w:t xml:space="preserve"> followed by the outpatient oral administration of 10 ml </w:t>
      </w:r>
      <w:r>
        <w:rPr>
          <w:szCs w:val="24"/>
          <w:lang w:val="en-US" w:eastAsia="ru-RU"/>
        </w:rPr>
        <w:t xml:space="preserve">of </w:t>
      </w:r>
      <w:proofErr w:type="spellStart"/>
      <w:r w:rsidRPr="007B4CAF">
        <w:rPr>
          <w:szCs w:val="24"/>
          <w:lang w:val="en-US" w:eastAsia="ru-RU"/>
        </w:rPr>
        <w:t>Tivortin</w:t>
      </w:r>
      <w:proofErr w:type="spellEnd"/>
      <w:r w:rsidRPr="007B4CAF">
        <w:rPr>
          <w:szCs w:val="24"/>
          <w:lang w:val="en-US" w:eastAsia="ru-RU"/>
        </w:rPr>
        <w:t xml:space="preserve"> 2 times per day </w:t>
      </w:r>
      <w:r>
        <w:rPr>
          <w:szCs w:val="24"/>
          <w:lang w:val="en-US" w:eastAsia="ru-RU"/>
        </w:rPr>
        <w:t>during</w:t>
      </w:r>
      <w:r w:rsidRPr="007B4CAF">
        <w:rPr>
          <w:szCs w:val="24"/>
          <w:lang w:val="en-US" w:eastAsia="ru-RU"/>
        </w:rPr>
        <w:t xml:space="preserve"> two weeks.</w:t>
      </w:r>
    </w:p>
    <w:p w:rsidR="00BF5A80" w:rsidRDefault="00BF5A80" w:rsidP="00BF5A8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Cs w:val="24"/>
          <w:lang w:val="en-US" w:eastAsia="ru-RU"/>
        </w:rPr>
      </w:pPr>
      <w:r w:rsidRPr="00E827BB">
        <w:rPr>
          <w:b/>
          <w:szCs w:val="24"/>
          <w:lang w:val="en-US" w:eastAsia="ru-RU"/>
        </w:rPr>
        <w:t>Results.</w:t>
      </w:r>
      <w:r>
        <w:rPr>
          <w:szCs w:val="24"/>
          <w:lang w:val="en-US" w:eastAsia="ru-RU"/>
        </w:rPr>
        <w:t xml:space="preserve"> The u</w:t>
      </w:r>
      <w:r w:rsidRPr="00E827BB">
        <w:rPr>
          <w:szCs w:val="24"/>
          <w:lang w:val="en-US" w:eastAsia="ru-RU"/>
        </w:rPr>
        <w:t xml:space="preserve">se of </w:t>
      </w:r>
      <w:proofErr w:type="spellStart"/>
      <w:r w:rsidRPr="00E827BB">
        <w:rPr>
          <w:szCs w:val="24"/>
          <w:lang w:val="en-US" w:eastAsia="ru-RU"/>
        </w:rPr>
        <w:t>Corvit</w:t>
      </w:r>
      <w:r>
        <w:rPr>
          <w:szCs w:val="24"/>
          <w:lang w:val="en-US" w:eastAsia="ru-RU"/>
        </w:rPr>
        <w:t>i</w:t>
      </w:r>
      <w:r w:rsidRPr="00E827BB">
        <w:rPr>
          <w:szCs w:val="24"/>
          <w:lang w:val="en-US" w:eastAsia="ru-RU"/>
        </w:rPr>
        <w:t>n</w:t>
      </w:r>
      <w:proofErr w:type="spellEnd"/>
      <w:r w:rsidRPr="00E827BB">
        <w:rPr>
          <w:szCs w:val="24"/>
          <w:lang w:val="en-US" w:eastAsia="ru-RU"/>
        </w:rPr>
        <w:t xml:space="preserve"> and </w:t>
      </w:r>
      <w:proofErr w:type="spellStart"/>
      <w:r w:rsidRPr="00E827BB">
        <w:rPr>
          <w:szCs w:val="24"/>
          <w:lang w:val="en-US" w:eastAsia="ru-RU"/>
        </w:rPr>
        <w:t>Tivortin</w:t>
      </w:r>
      <w:proofErr w:type="spellEnd"/>
      <w:r w:rsidRPr="00E827BB">
        <w:rPr>
          <w:szCs w:val="24"/>
          <w:lang w:val="en-US" w:eastAsia="ru-RU"/>
        </w:rPr>
        <w:t xml:space="preserve"> against the background of BT in patients with </w:t>
      </w:r>
      <w:r>
        <w:rPr>
          <w:szCs w:val="24"/>
          <w:lang w:val="en-US" w:eastAsia="ru-RU"/>
        </w:rPr>
        <w:t>AH of the</w:t>
      </w:r>
      <w:r w:rsidRPr="00E827BB">
        <w:rPr>
          <w:szCs w:val="24"/>
          <w:lang w:val="en-US" w:eastAsia="ru-RU"/>
        </w:rPr>
        <w:t xml:space="preserve"> II st</w:t>
      </w:r>
      <w:r>
        <w:rPr>
          <w:szCs w:val="24"/>
          <w:lang w:val="en-US" w:eastAsia="ru-RU"/>
        </w:rPr>
        <w:t>age</w:t>
      </w:r>
      <w:r w:rsidRPr="00E827BB">
        <w:rPr>
          <w:szCs w:val="24"/>
          <w:lang w:val="en-US" w:eastAsia="ru-RU"/>
        </w:rPr>
        <w:t xml:space="preserve"> in combination with </w:t>
      </w:r>
      <w:r>
        <w:rPr>
          <w:szCs w:val="24"/>
          <w:lang w:val="en-US" w:eastAsia="ru-RU"/>
        </w:rPr>
        <w:t>SIHD</w:t>
      </w:r>
      <w:r w:rsidRPr="00E827BB">
        <w:rPr>
          <w:szCs w:val="24"/>
          <w:lang w:val="en-US" w:eastAsia="ru-RU"/>
        </w:rPr>
        <w:t xml:space="preserve"> has led to a significant improvement </w:t>
      </w:r>
      <w:r>
        <w:rPr>
          <w:szCs w:val="24"/>
          <w:lang w:val="en-US" w:eastAsia="ru-RU"/>
        </w:rPr>
        <w:t>of</w:t>
      </w:r>
      <w:r w:rsidRPr="00E827BB">
        <w:rPr>
          <w:szCs w:val="24"/>
          <w:lang w:val="en-US" w:eastAsia="ru-RU"/>
        </w:rPr>
        <w:t xml:space="preserve"> </w:t>
      </w:r>
      <w:proofErr w:type="spellStart"/>
      <w:r w:rsidRPr="00E827BB">
        <w:rPr>
          <w:szCs w:val="24"/>
          <w:lang w:val="en-US" w:eastAsia="ru-RU"/>
        </w:rPr>
        <w:t>lipidogram</w:t>
      </w:r>
      <w:proofErr w:type="spellEnd"/>
      <w:r>
        <w:rPr>
          <w:szCs w:val="24"/>
          <w:lang w:val="en-US" w:eastAsia="ru-RU"/>
        </w:rPr>
        <w:t xml:space="preserve"> indices</w:t>
      </w:r>
      <w:r w:rsidRPr="00E827BB">
        <w:rPr>
          <w:szCs w:val="24"/>
          <w:lang w:val="en-US" w:eastAsia="ru-RU"/>
        </w:rPr>
        <w:t xml:space="preserve">, decreased plasma glucose concentration, </w:t>
      </w:r>
      <w:proofErr w:type="spellStart"/>
      <w:r w:rsidRPr="00E827BB">
        <w:rPr>
          <w:szCs w:val="24"/>
          <w:lang w:val="en-US" w:eastAsia="ru-RU"/>
        </w:rPr>
        <w:t>immunoreactive</w:t>
      </w:r>
      <w:proofErr w:type="spellEnd"/>
      <w:r w:rsidRPr="00E827BB">
        <w:rPr>
          <w:szCs w:val="24"/>
          <w:lang w:val="en-US" w:eastAsia="ru-RU"/>
        </w:rPr>
        <w:t xml:space="preserve"> insulin (IRI), </w:t>
      </w:r>
      <w:r>
        <w:rPr>
          <w:szCs w:val="24"/>
          <w:lang w:val="en-US" w:eastAsia="ru-RU"/>
        </w:rPr>
        <w:t>H</w:t>
      </w:r>
      <w:r w:rsidRPr="00E827BB">
        <w:rPr>
          <w:szCs w:val="24"/>
          <w:lang w:val="en-US" w:eastAsia="ru-RU"/>
        </w:rPr>
        <w:t xml:space="preserve">OMA-IR index, plasma malonic aldehyde (MA) and erythrocytes. </w:t>
      </w:r>
      <w:r>
        <w:rPr>
          <w:szCs w:val="24"/>
          <w:lang w:val="en-US" w:eastAsia="ru-RU"/>
        </w:rPr>
        <w:t>Reliable</w:t>
      </w:r>
      <w:r w:rsidRPr="00E827BB">
        <w:rPr>
          <w:szCs w:val="24"/>
          <w:lang w:val="en-US" w:eastAsia="ru-RU"/>
        </w:rPr>
        <w:t xml:space="preserve"> increase in the content of reduced glutathione (</w:t>
      </w:r>
      <w:r>
        <w:rPr>
          <w:szCs w:val="24"/>
          <w:lang w:val="en-US" w:eastAsia="ru-RU"/>
        </w:rPr>
        <w:t>RG</w:t>
      </w:r>
      <w:r w:rsidRPr="00E827BB">
        <w:rPr>
          <w:szCs w:val="24"/>
          <w:lang w:val="en-US" w:eastAsia="ru-RU"/>
        </w:rPr>
        <w:t>), increased activity of glutathione peroxidase (GP), catalase (CT)</w:t>
      </w:r>
      <w:r>
        <w:rPr>
          <w:szCs w:val="24"/>
          <w:lang w:val="en-US" w:eastAsia="ru-RU"/>
        </w:rPr>
        <w:t xml:space="preserve"> has been marked f</w:t>
      </w:r>
      <w:r w:rsidRPr="00E827BB">
        <w:rPr>
          <w:szCs w:val="24"/>
          <w:lang w:val="en-US" w:eastAsia="ru-RU"/>
        </w:rPr>
        <w:t>rom the side of antioxidant protection (AOP)</w:t>
      </w:r>
      <w:r>
        <w:rPr>
          <w:szCs w:val="24"/>
          <w:lang w:val="en-US" w:eastAsia="ru-RU"/>
        </w:rPr>
        <w:t>.</w:t>
      </w:r>
      <w:r w:rsidRPr="00E827BB">
        <w:rPr>
          <w:szCs w:val="24"/>
          <w:lang w:val="en-US" w:eastAsia="ru-RU"/>
        </w:rPr>
        <w:t xml:space="preserve"> </w:t>
      </w:r>
      <w:r w:rsidRPr="00990275">
        <w:rPr>
          <w:szCs w:val="24"/>
          <w:lang w:val="en-US" w:eastAsia="ru-RU"/>
        </w:rPr>
        <w:t>There</w:t>
      </w:r>
      <w:r w:rsidRPr="00E827BB">
        <w:rPr>
          <w:szCs w:val="24"/>
          <w:lang w:val="en-US" w:eastAsia="ru-RU"/>
        </w:rPr>
        <w:t xml:space="preserve"> was a significant increase in the content of end-metabolites of NO </w:t>
      </w:r>
      <w:r>
        <w:rPr>
          <w:szCs w:val="24"/>
          <w:lang w:val="en-US" w:eastAsia="ru-RU"/>
        </w:rPr>
        <w:t xml:space="preserve">by </w:t>
      </w:r>
      <w:r w:rsidRPr="00E827BB">
        <w:rPr>
          <w:szCs w:val="24"/>
          <w:lang w:val="en-US" w:eastAsia="ru-RU"/>
        </w:rPr>
        <w:t xml:space="preserve">22.2%, of the endothelial vascular growth factor VEGF-A </w:t>
      </w:r>
      <w:r>
        <w:rPr>
          <w:szCs w:val="24"/>
          <w:lang w:val="en-US" w:eastAsia="ru-RU"/>
        </w:rPr>
        <w:t>–</w:t>
      </w:r>
      <w:r w:rsidRPr="00E827BB">
        <w:rPr>
          <w:szCs w:val="24"/>
          <w:lang w:val="en-US" w:eastAsia="ru-RU"/>
        </w:rPr>
        <w:t xml:space="preserve"> by</w:t>
      </w:r>
      <w:r>
        <w:rPr>
          <w:szCs w:val="24"/>
          <w:lang w:val="en-US" w:eastAsia="ru-RU"/>
        </w:rPr>
        <w:t xml:space="preserve"> </w:t>
      </w:r>
      <w:r w:rsidRPr="00E827BB">
        <w:rPr>
          <w:szCs w:val="24"/>
          <w:lang w:val="en-US" w:eastAsia="ru-RU"/>
        </w:rPr>
        <w:t xml:space="preserve">38.2%. </w:t>
      </w:r>
      <w:proofErr w:type="gramStart"/>
      <w:r w:rsidRPr="00E827BB">
        <w:rPr>
          <w:szCs w:val="24"/>
          <w:lang w:val="en-US" w:eastAsia="ru-RU"/>
        </w:rPr>
        <w:t xml:space="preserve">A more significant </w:t>
      </w:r>
      <w:r>
        <w:rPr>
          <w:szCs w:val="24"/>
          <w:lang w:val="en-US" w:eastAsia="ru-RU"/>
        </w:rPr>
        <w:t>indices dynamics</w:t>
      </w:r>
      <w:proofErr w:type="gramEnd"/>
      <w:r>
        <w:rPr>
          <w:szCs w:val="24"/>
          <w:lang w:val="en-US" w:eastAsia="ru-RU"/>
        </w:rPr>
        <w:t xml:space="preserve"> </w:t>
      </w:r>
      <w:r w:rsidRPr="00E827BB">
        <w:rPr>
          <w:szCs w:val="24"/>
          <w:lang w:val="en-US" w:eastAsia="ru-RU"/>
        </w:rPr>
        <w:t>is observed in patients with the genotype Pro/Ala of the PPARγ2 gene.</w:t>
      </w:r>
    </w:p>
    <w:p w:rsidR="00BF5A80" w:rsidRPr="00F73BBA" w:rsidRDefault="00BF5A80" w:rsidP="00BF5A80">
      <w:pPr>
        <w:tabs>
          <w:tab w:val="left" w:pos="567"/>
        </w:tabs>
        <w:spacing w:after="0" w:line="360" w:lineRule="auto"/>
        <w:ind w:firstLine="567"/>
        <w:jc w:val="both"/>
        <w:rPr>
          <w:szCs w:val="28"/>
          <w:lang w:eastAsia="ru-RU"/>
        </w:rPr>
      </w:pPr>
      <w:r>
        <w:rPr>
          <w:b/>
          <w:color w:val="000000" w:themeColor="text1"/>
          <w:szCs w:val="28"/>
          <w:lang w:val="en-US" w:eastAsia="ru-RU"/>
        </w:rPr>
        <w:t>Key</w:t>
      </w:r>
      <w:r w:rsidRPr="00844BCA">
        <w:rPr>
          <w:b/>
          <w:color w:val="000000" w:themeColor="text1"/>
          <w:szCs w:val="28"/>
          <w:lang w:eastAsia="ru-RU"/>
        </w:rPr>
        <w:t xml:space="preserve"> </w:t>
      </w:r>
      <w:r>
        <w:rPr>
          <w:b/>
          <w:color w:val="000000" w:themeColor="text1"/>
          <w:szCs w:val="28"/>
          <w:lang w:val="en-US" w:eastAsia="ru-RU"/>
        </w:rPr>
        <w:t>words</w:t>
      </w:r>
      <w:r w:rsidRPr="00F73BBA">
        <w:rPr>
          <w:b/>
          <w:szCs w:val="28"/>
          <w:lang w:eastAsia="ru-RU"/>
        </w:rPr>
        <w:t xml:space="preserve">: </w:t>
      </w:r>
      <w:proofErr w:type="spellStart"/>
      <w:r w:rsidRPr="00844BCA">
        <w:rPr>
          <w:szCs w:val="28"/>
          <w:lang w:eastAsia="ru-RU"/>
        </w:rPr>
        <w:t>essential</w:t>
      </w:r>
      <w:proofErr w:type="spellEnd"/>
      <w:r w:rsidRPr="00844BCA">
        <w:rPr>
          <w:szCs w:val="28"/>
          <w:lang w:eastAsia="ru-RU"/>
        </w:rPr>
        <w:t xml:space="preserve"> </w:t>
      </w:r>
      <w:proofErr w:type="spellStart"/>
      <w:r w:rsidRPr="00844BCA">
        <w:rPr>
          <w:szCs w:val="28"/>
          <w:lang w:eastAsia="ru-RU"/>
        </w:rPr>
        <w:t>hypertension</w:t>
      </w:r>
      <w:proofErr w:type="spellEnd"/>
      <w:r w:rsidRPr="00F73BBA">
        <w:rPr>
          <w:szCs w:val="28"/>
          <w:lang w:eastAsia="ru-RU"/>
        </w:rPr>
        <w:t xml:space="preserve">, </w:t>
      </w:r>
      <w:proofErr w:type="spellStart"/>
      <w:r w:rsidRPr="00844BCA">
        <w:rPr>
          <w:szCs w:val="28"/>
          <w:lang w:eastAsia="ru-RU"/>
        </w:rPr>
        <w:t>ischemic</w:t>
      </w:r>
      <w:proofErr w:type="spellEnd"/>
      <w:r w:rsidRPr="00844BCA">
        <w:rPr>
          <w:szCs w:val="28"/>
          <w:lang w:eastAsia="ru-RU"/>
        </w:rPr>
        <w:t xml:space="preserve"> </w:t>
      </w:r>
      <w:proofErr w:type="spellStart"/>
      <w:r w:rsidRPr="00844BCA">
        <w:rPr>
          <w:szCs w:val="28"/>
          <w:lang w:eastAsia="ru-RU"/>
        </w:rPr>
        <w:t>heart</w:t>
      </w:r>
      <w:proofErr w:type="spellEnd"/>
      <w:r w:rsidRPr="00844BCA">
        <w:rPr>
          <w:szCs w:val="28"/>
          <w:lang w:eastAsia="ru-RU"/>
        </w:rPr>
        <w:t xml:space="preserve"> </w:t>
      </w:r>
      <w:proofErr w:type="spellStart"/>
      <w:r w:rsidRPr="00844BCA">
        <w:rPr>
          <w:szCs w:val="28"/>
          <w:lang w:eastAsia="ru-RU"/>
        </w:rPr>
        <w:t>disease</w:t>
      </w:r>
      <w:proofErr w:type="spellEnd"/>
      <w:r>
        <w:rPr>
          <w:szCs w:val="28"/>
          <w:lang w:eastAsia="ru-RU"/>
        </w:rPr>
        <w:t>,</w:t>
      </w:r>
      <w:r>
        <w:rPr>
          <w:szCs w:val="28"/>
          <w:lang w:val="en-US" w:eastAsia="ru-RU"/>
        </w:rPr>
        <w:t xml:space="preserve"> metabolism rates</w:t>
      </w:r>
      <w:r w:rsidRPr="00F73BBA">
        <w:rPr>
          <w:szCs w:val="28"/>
          <w:lang w:eastAsia="ru-RU"/>
        </w:rPr>
        <w:t xml:space="preserve">, </w:t>
      </w:r>
      <w:r>
        <w:rPr>
          <w:szCs w:val="28"/>
          <w:lang w:val="en-US" w:eastAsia="ru-RU"/>
        </w:rPr>
        <w:t>C</w:t>
      </w:r>
      <w:proofErr w:type="spellStart"/>
      <w:r w:rsidRPr="008F1050">
        <w:rPr>
          <w:szCs w:val="28"/>
          <w:lang w:eastAsia="ru-RU"/>
        </w:rPr>
        <w:t>orvitin</w:t>
      </w:r>
      <w:proofErr w:type="spellEnd"/>
      <w:r w:rsidRPr="00F73BBA">
        <w:rPr>
          <w:szCs w:val="28"/>
          <w:lang w:eastAsia="ru-RU"/>
        </w:rPr>
        <w:t xml:space="preserve">, </w:t>
      </w:r>
      <w:proofErr w:type="spellStart"/>
      <w:r w:rsidRPr="008F1050">
        <w:rPr>
          <w:szCs w:val="28"/>
          <w:lang w:eastAsia="ru-RU"/>
        </w:rPr>
        <w:t>Tivortin</w:t>
      </w:r>
      <w:proofErr w:type="spellEnd"/>
      <w:r w:rsidRPr="00F73BBA">
        <w:rPr>
          <w:szCs w:val="28"/>
          <w:lang w:eastAsia="ru-RU"/>
        </w:rPr>
        <w:t xml:space="preserve">. </w:t>
      </w:r>
    </w:p>
    <w:p w:rsidR="00BF5A80" w:rsidRDefault="00BF5A80" w:rsidP="00BF5A80">
      <w:pPr>
        <w:ind w:firstLine="567"/>
        <w:rPr>
          <w:rFonts w:cs="Ubuntu"/>
          <w:color w:val="000000"/>
          <w:szCs w:val="28"/>
        </w:rPr>
      </w:pPr>
    </w:p>
    <w:p w:rsidR="00BF5A80" w:rsidRPr="005264B0" w:rsidRDefault="00BF5A80" w:rsidP="00BF5A80">
      <w:pPr>
        <w:ind w:firstLine="567"/>
        <w:rPr>
          <w:rFonts w:cs="Ubuntu"/>
          <w:szCs w:val="28"/>
        </w:rPr>
      </w:pPr>
      <w:r w:rsidRPr="005264B0">
        <w:rPr>
          <w:rFonts w:cs="Ubuntu"/>
          <w:szCs w:val="28"/>
        </w:rPr>
        <w:t>REFERENCES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 w:hanging="426"/>
        <w:jc w:val="both"/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5264B0">
        <w:rPr>
          <w:rFonts w:ascii="Times New Roman" w:hAnsi="Times New Roman" w:cs="Times New Roman"/>
          <w:sz w:val="28"/>
          <w:szCs w:val="28"/>
          <w:lang w:val="uk-UA"/>
        </w:rPr>
        <w:t>(2013)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Klinichni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rekomendatsii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</w:rPr>
        <w:t>z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arterialnoi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hipertenzii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Yevropeiskoho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tovarystva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hipertenzii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264B0">
        <w:rPr>
          <w:rFonts w:ascii="Times New Roman" w:hAnsi="Times New Roman" w:cs="Times New Roman"/>
          <w:sz w:val="28"/>
          <w:szCs w:val="28"/>
        </w:rPr>
        <w:t>ESH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Yevropeiskoho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tovarystva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kardiolohiv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264B0">
        <w:rPr>
          <w:rFonts w:ascii="Times New Roman" w:hAnsi="Times New Roman" w:cs="Times New Roman"/>
          <w:sz w:val="28"/>
          <w:szCs w:val="28"/>
        </w:rPr>
        <w:t>ESC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) 2013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roku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Clinical guidelines for arterial hypertension of the European Society for Hypertension (ESH) and the European Society of Cardiology (ESC) 2013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Arteryalnaia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hypertenzyia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5264B0">
        <w:rPr>
          <w:rStyle w:val="A00"/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Arterial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  <w:lang w:val="uk-UA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Hy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  <w:lang w:val="uk-UA"/>
        </w:rPr>
        <w:softHyphen/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pertension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  <w:lang w:val="uk-UA"/>
        </w:rPr>
        <w:t>, 4,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61–157</w:t>
      </w:r>
      <w:r w:rsidRPr="005264B0">
        <w:rPr>
          <w:rStyle w:val="a3"/>
          <w:rFonts w:ascii="Times New Roman" w:hAnsi="Times New Roman" w:cs="Times New Roman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in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Ukrainian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].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Huffman, M.D., Lloyd-Jones, D.M., Ning, H.,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Labarthe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</w:t>
        </w:r>
        <w:r w:rsidRPr="005264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R., </w:t>
        </w:r>
      </w:hyperlink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Castillo </w:t>
      </w:r>
      <w:r w:rsidRPr="00526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hyperlink r:id="rId10" w:history="1">
        <w:r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</w:t>
        </w:r>
        <w:r w:rsidRPr="005264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, </w:t>
        </w:r>
      </w:hyperlink>
      <w:r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11" w:history="1">
        <w:r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O’Flaherty</w:t>
        </w:r>
      </w:hyperlink>
      <w:r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264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Ford, </w:t>
      </w:r>
      <w:hyperlink r:id="rId12" w:history="1">
        <w:r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E.S.</w:t>
        </w:r>
      </w:hyperlink>
      <w:r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and </w:t>
      </w:r>
      <w:hyperlink r:id="rId13" w:history="1">
        <w:proofErr w:type="spellStart"/>
        <w:r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Capewell</w:t>
        </w:r>
        <w:proofErr w:type="spellEnd"/>
      </w:hyperlink>
      <w:r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5264B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</w:t>
      </w:r>
      <w:r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S.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(2013)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Epidemiology and Prevention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Quantifying Options for Reducing Coronary Heart Disease Mortality </w:t>
      </w:r>
      <w:proofErr w:type="gramStart"/>
      <w:r w:rsidRPr="005264B0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2020. Circulation, 127, 5, 2477-2484.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Svishchenko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Ye.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Mishchenko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L.A.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(2017).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Kliniko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demohrafichni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kharakterystyky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patsiientiv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upershe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vyiavlenoiu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arterialnoiu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hipertenziieiu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rezultaty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doslidzhennia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Clinical and demographic characteristics of patients with newly diagnosed arterial hypertension: results of the START study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Ukrainskyi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kardiolohichnyi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zhurnal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proofErr w:type="spellStart"/>
      <w:r w:rsidRPr="005264B0">
        <w:rPr>
          <w:rFonts w:ascii="Times New Roman" w:hAnsi="Times New Roman" w:cs="Times New Roman"/>
          <w:iCs/>
          <w:sz w:val="28"/>
          <w:szCs w:val="28"/>
        </w:rPr>
        <w:t>Ukrainian</w:t>
      </w:r>
      <w:proofErr w:type="spellEnd"/>
      <w:r w:rsidRPr="005264B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264B0">
        <w:rPr>
          <w:rFonts w:ascii="Times New Roman" w:hAnsi="Times New Roman" w:cs="Times New Roman"/>
          <w:iCs/>
          <w:sz w:val="28"/>
          <w:szCs w:val="28"/>
        </w:rPr>
        <w:t>Cardiology</w:t>
      </w:r>
      <w:proofErr w:type="spellEnd"/>
      <w:r w:rsidRPr="005264B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5264B0">
        <w:rPr>
          <w:rFonts w:ascii="Times New Roman" w:hAnsi="Times New Roman" w:cs="Times New Roman"/>
          <w:iCs/>
          <w:sz w:val="28"/>
          <w:szCs w:val="28"/>
        </w:rPr>
        <w:t>Journal</w:t>
      </w:r>
      <w:proofErr w:type="spellEnd"/>
      <w:r w:rsidRPr="005264B0">
        <w:rPr>
          <w:rFonts w:ascii="Times New Roman" w:hAnsi="Times New Roman" w:cs="Times New Roman"/>
          <w:iCs/>
          <w:sz w:val="28"/>
          <w:szCs w:val="28"/>
        </w:rPr>
        <w:t>,</w:t>
      </w:r>
      <w:r w:rsidRPr="005264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proofErr w:type="gram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14-23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Ukrainian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].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lastRenderedPageBreak/>
        <w:t>Tseluiko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V.I.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Yakovleva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L.M. 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(2013).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Henetychni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aspekty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arterialnoi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hipertenzii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khvorykh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ishemichnu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khvorobu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sertsia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[Genetic aspects of arterial hypertension in patients with ischemic heart disease]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Arteryalnaia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hypertenzyia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  <w:lang w:val="en-US"/>
        </w:rPr>
        <w:t>Arterial</w:t>
      </w:r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  <w:lang w:val="uk-UA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  <w:lang w:val="en-US"/>
        </w:rPr>
        <w:t>Hy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  <w:lang w:val="uk-UA"/>
        </w:rPr>
        <w:softHyphen/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  <w:lang w:val="en-US"/>
        </w:rPr>
        <w:t>pertension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  <w:lang w:val="uk-UA"/>
        </w:rPr>
        <w:t xml:space="preserve">,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5. –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Retrieved from</w:t>
      </w:r>
      <w:r w:rsidRPr="00596EDB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  <w:r w:rsidRPr="00596E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14" w:history="1">
        <w:r w:rsidRPr="00596ED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http://www.mif-ua.com/archive/article/37263</w:t>
        </w:r>
      </w:hyperlink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Ukrainian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].</w:t>
      </w:r>
      <w:bookmarkStart w:id="0" w:name="_GoBack"/>
      <w:bookmarkEnd w:id="0"/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Babak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O.Ia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Andrieieva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A.O. 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(2013).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Hormonalni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zminy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zhyrovii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tkanyni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khvorykh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hipertonichnu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khvorobu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5264B0">
        <w:rPr>
          <w:rFonts w:ascii="Times New Roman" w:hAnsi="Times New Roman" w:cs="Times New Roman"/>
          <w:sz w:val="28"/>
          <w:szCs w:val="28"/>
          <w:lang w:val="en-US"/>
        </w:rPr>
        <w:t>ozhyrinnia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[</w:t>
      </w:r>
      <w:proofErr w:type="gramEnd"/>
      <w:r w:rsidRPr="005264B0">
        <w:rPr>
          <w:rFonts w:ascii="Times New Roman" w:hAnsi="Times New Roman" w:cs="Times New Roman"/>
          <w:sz w:val="28"/>
          <w:szCs w:val="28"/>
          <w:lang w:val="en-US"/>
        </w:rPr>
        <w:t>Hormonal changes in adipose tissue of patients with hypertension and obesity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terapevt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zhurnal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proofErr w:type="spellStart"/>
      <w:r w:rsidRPr="005264B0">
        <w:rPr>
          <w:rFonts w:ascii="Times New Roman" w:hAnsi="Times New Roman" w:cs="Times New Roman"/>
          <w:iCs/>
          <w:sz w:val="28"/>
          <w:szCs w:val="28"/>
        </w:rPr>
        <w:t>Ukrainian</w:t>
      </w:r>
      <w:proofErr w:type="spellEnd"/>
      <w:r w:rsidRPr="005264B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264B0">
        <w:rPr>
          <w:rFonts w:ascii="Times New Roman" w:hAnsi="Times New Roman" w:cs="Times New Roman"/>
          <w:iCs/>
          <w:sz w:val="28"/>
          <w:szCs w:val="28"/>
        </w:rPr>
        <w:t>Therapeutic</w:t>
      </w:r>
      <w:proofErr w:type="spellEnd"/>
      <w:r w:rsidRPr="005264B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264B0">
        <w:rPr>
          <w:rFonts w:ascii="Times New Roman" w:hAnsi="Times New Roman" w:cs="Times New Roman"/>
          <w:iCs/>
          <w:sz w:val="28"/>
          <w:szCs w:val="28"/>
        </w:rPr>
        <w:t>Journal</w:t>
      </w:r>
      <w:proofErr w:type="spellEnd"/>
      <w:r w:rsidRPr="005264B0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1, 63-67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Ukrainian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].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64B0">
        <w:rPr>
          <w:rFonts w:ascii="Times New Roman" w:hAnsi="Times New Roman" w:cs="Times New Roman"/>
          <w:sz w:val="28"/>
          <w:szCs w:val="28"/>
          <w:lang w:val="en-US"/>
        </w:rPr>
        <w:t>Williams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B.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Lacy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P.S., Thom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S.V. 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(2006).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Differential impact of blood pressure-lowering drugs on central aortic pressure and clinical outcomes: principal results of the Conduit Artery Function Evaluation (CAFE) study. Circulation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2006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113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1213–1225.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Svishchenko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Ye.P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Mishchenko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L.A.  (2011).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Znachennia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netradytsiinykh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faktoriv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sertsevo-sudynnoho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ryzyku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dlia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rozvytku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i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prohresuvannia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hipertonichnoi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khvoroby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   [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Role of non-traditional factors of cardiovascular risk in the development and progression of hypertonic disease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Ukrainskyi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kardiolohichnyi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zhurnal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Pr="005264B0">
        <w:rPr>
          <w:rFonts w:ascii="Times New Roman" w:hAnsi="Times New Roman" w:cs="Times New Roman"/>
          <w:iCs/>
          <w:sz w:val="28"/>
          <w:szCs w:val="28"/>
          <w:lang w:val="en-US"/>
        </w:rPr>
        <w:t>Ukrainian Cardiology Journal</w:t>
      </w:r>
      <w:r w:rsidRPr="005264B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5264B0">
        <w:rPr>
          <w:rStyle w:val="shorttext"/>
          <w:rFonts w:ascii="Times New Roman" w:hAnsi="Times New Roman" w:cs="Times New Roman"/>
          <w:sz w:val="28"/>
          <w:szCs w:val="28"/>
          <w:lang w:val="en"/>
        </w:rPr>
        <w:t>Addition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1, 16–21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Ukrainian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].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Sirenko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Yu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M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.,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Rekovets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O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L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.,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Savytskyi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S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Yu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.,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Pavliuk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Ye.A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(2010).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Metabolichnyi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syndrom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u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patsiientiv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z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arterialnoiu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hipertenziieiu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ta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metabolichni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efekty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riznykh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antyhiper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softHyphen/>
        <w:t>tenzyvnykh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preparativ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[Metabolic syndrome in patients with arterial hypertension and metabolic effects of different antihypertensive drugs].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Arteryalnaia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</w:rPr>
        <w:t>hypertenzyia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 xml:space="preserve">– </w:t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Arterial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Hy</w:t>
      </w:r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softHyphen/>
        <w:t>pertension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, 4</w:t>
      </w:r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  <w:lang w:val="uk-UA"/>
        </w:rPr>
        <w:t xml:space="preserve">, 42-56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Ukrainian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].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Zharinova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Yu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.,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Parasyuk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Ye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.,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Samots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.,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Benkovskaia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N.N. (2016).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Vozmozhnosti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povysheniya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effektivnosti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antigiper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softHyphen/>
        <w:t>tenzivnoy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terapii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rol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donatorov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oksida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azota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[Possibilities to increase efficacy of anti-hypertensive therapy: the role of nitrogen oxide donators]. </w:t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Zdorovia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Ukrainy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 xml:space="preserve"> – </w:t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Health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of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>Ukraine</w:t>
      </w:r>
      <w:proofErr w:type="spellEnd"/>
      <w:r w:rsidRPr="005264B0">
        <w:rPr>
          <w:rStyle w:val="A00"/>
          <w:rFonts w:ascii="Times New Roman" w:hAnsi="Times New Roman" w:cs="Times New Roman"/>
          <w:iCs/>
          <w:color w:val="auto"/>
          <w:sz w:val="28"/>
          <w:szCs w:val="28"/>
        </w:rPr>
        <w:t xml:space="preserve">, 1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(44), 45-46 [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in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Russian</w:t>
      </w:r>
      <w:proofErr w:type="spellEnd"/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</w:rPr>
        <w:t>].</w:t>
      </w:r>
    </w:p>
    <w:p w:rsidR="00BF5A80" w:rsidRPr="005264B0" w:rsidRDefault="00596EDB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Jensen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uk-UA"/>
          </w:rPr>
          <w:t xml:space="preserve">, 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H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uk-UA"/>
          </w:rPr>
          <w:t xml:space="preserve">., 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Mehta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uk-UA"/>
          </w:rPr>
          <w:t xml:space="preserve">, J.L. (2016). 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Endothelial cell dysfunction as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novel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therapeutic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target in 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atherosclerosis</w:t>
        </w:r>
      </w:hyperlink>
      <w:r w:rsidR="00BF5A80"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="00BF5A80" w:rsidRPr="005264B0">
        <w:rPr>
          <w:rFonts w:ascii="Times New Roman" w:hAnsi="Times New Roman" w:cs="Times New Roman"/>
          <w:sz w:val="28"/>
          <w:szCs w:val="28"/>
          <w:lang w:val="en-US"/>
        </w:rPr>
        <w:t>Exp</w:t>
      </w:r>
      <w:proofErr w:type="spellEnd"/>
      <w:r w:rsidR="00BF5A80"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5A80"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Rev. </w:t>
      </w:r>
      <w:proofErr w:type="spellStart"/>
      <w:r w:rsidR="00BF5A80" w:rsidRPr="005264B0">
        <w:rPr>
          <w:rFonts w:ascii="Times New Roman" w:hAnsi="Times New Roman" w:cs="Times New Roman"/>
          <w:sz w:val="28"/>
          <w:szCs w:val="28"/>
          <w:lang w:val="en-US"/>
        </w:rPr>
        <w:t>Cardiovasc</w:t>
      </w:r>
      <w:proofErr w:type="spellEnd"/>
      <w:r w:rsidR="00BF5A80"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F5A80" w:rsidRPr="005264B0">
        <w:rPr>
          <w:rFonts w:ascii="Times New Roman" w:hAnsi="Times New Roman" w:cs="Times New Roman"/>
          <w:sz w:val="28"/>
          <w:szCs w:val="28"/>
          <w:lang w:val="en-US"/>
        </w:rPr>
        <w:t>Ther</w:t>
      </w:r>
      <w:proofErr w:type="spellEnd"/>
      <w:r w:rsidR="00BF5A80" w:rsidRPr="005264B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F5A80"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5A80"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14 (9)</w:t>
      </w:r>
      <w:r w:rsidR="00BF5A80"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5A80" w:rsidRPr="005264B0">
        <w:rPr>
          <w:rFonts w:ascii="Times New Roman" w:hAnsi="Times New Roman" w:cs="Times New Roman"/>
          <w:sz w:val="28"/>
          <w:szCs w:val="28"/>
          <w:lang w:val="en-US"/>
        </w:rPr>
        <w:t> 1021-1033. 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264B0">
        <w:rPr>
          <w:rFonts w:ascii="Times New Roman" w:hAnsi="Times New Roman" w:cs="Times New Roman"/>
          <w:bCs/>
          <w:sz w:val="28"/>
          <w:szCs w:val="28"/>
          <w:lang w:val="en-US"/>
        </w:rPr>
        <w:t>Rajapakse</w:t>
      </w:r>
      <w:proofErr w:type="spellEnd"/>
      <w:r w:rsidRPr="005264B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</w:t>
      </w:r>
      <w:r w:rsidRPr="005264B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5264B0">
        <w:rPr>
          <w:rFonts w:ascii="Times New Roman" w:hAnsi="Times New Roman" w:cs="Times New Roman"/>
          <w:bCs/>
          <w:sz w:val="28"/>
          <w:szCs w:val="28"/>
          <w:lang w:val="en-US"/>
        </w:rPr>
        <w:t>W.</w:t>
      </w:r>
      <w:r w:rsidRPr="00526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</w:t>
      </w:r>
      <w:r w:rsidRPr="005264B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5264B0">
        <w:rPr>
          <w:rFonts w:ascii="Times New Roman" w:hAnsi="Times New Roman" w:cs="Times New Roman"/>
          <w:bCs/>
          <w:sz w:val="28"/>
          <w:szCs w:val="28"/>
          <w:lang w:val="en-US"/>
        </w:rPr>
        <w:t>A., 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Kaye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</w:t>
      </w:r>
      <w:r w:rsidRPr="005264B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5264B0">
        <w:rPr>
          <w:rFonts w:ascii="Times New Roman" w:hAnsi="Times New Roman" w:cs="Times New Roman"/>
          <w:bCs/>
          <w:sz w:val="28"/>
          <w:szCs w:val="28"/>
          <w:lang w:val="en-US"/>
        </w:rPr>
        <w:t>M.</w:t>
      </w:r>
      <w:r w:rsidRPr="00526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(2016). </w:t>
      </w:r>
      <w:r w:rsidRPr="005264B0">
        <w:rPr>
          <w:rFonts w:ascii="Times New Roman" w:hAnsi="Times New Roman" w:cs="Times New Roman"/>
          <w:kern w:val="36"/>
          <w:sz w:val="28"/>
          <w:szCs w:val="28"/>
          <w:lang w:val="en-US"/>
        </w:rPr>
        <w:t>Say NO to Obesity-Related Hypertension</w:t>
      </w:r>
      <w:r w:rsidRPr="005264B0">
        <w:rPr>
          <w:rFonts w:ascii="Times New Roman" w:hAnsi="Times New Roman" w:cs="Times New Roman"/>
          <w:kern w:val="36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Role of the L-Arginine–Nitric Oxide Pathway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6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Hypertension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 67 (5), 813-819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F5A80" w:rsidRPr="005264B0" w:rsidRDefault="00596EDB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Matsuzawa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,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Y</w:t>
        </w:r>
      </w:hyperlink>
      <w:r w:rsidR="00BF5A80" w:rsidRPr="00526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F5A80"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hyperlink r:id="rId17" w:history="1">
        <w:proofErr w:type="spellStart"/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Guddeti</w:t>
        </w:r>
        <w:proofErr w:type="spellEnd"/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, 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</w:hyperlink>
      <w:r w:rsidR="00BF5A80" w:rsidRPr="00526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F5A80"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hyperlink r:id="rId18" w:history="1"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Kwon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,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T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</w:t>
        </w:r>
      </w:hyperlink>
      <w:r w:rsidR="00BF5A80"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hyperlink r:id="rId19" w:history="1">
        <w:proofErr w:type="spellStart"/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Lerman</w:t>
        </w:r>
        <w:proofErr w:type="spellEnd"/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,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L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</w:t>
        </w:r>
      </w:hyperlink>
      <w:r w:rsidR="00BF5A80" w:rsidRPr="00526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F5A80"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hyperlink r:id="rId20" w:history="1">
        <w:proofErr w:type="spellStart"/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Lerman</w:t>
        </w:r>
        <w:proofErr w:type="spellEnd"/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,</w:t>
        </w:r>
        <w:r w:rsidR="00BF5A80" w:rsidRPr="005264B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A</w:t>
        </w:r>
      </w:hyperlink>
      <w:r w:rsidR="00BF5A80" w:rsidRPr="00526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BF5A80" w:rsidRPr="00526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(2015). </w:t>
      </w:r>
      <w:hyperlink r:id="rId21" w:history="1"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en-US"/>
          </w:rPr>
          <w:t>Secondary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uk-UA"/>
          </w:rPr>
          <w:t xml:space="preserve"> 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en-US"/>
          </w:rPr>
          <w:t>Prevention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uk-UA"/>
          </w:rPr>
          <w:t xml:space="preserve"> 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en-US"/>
          </w:rPr>
          <w:t>Strategy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uk-UA"/>
          </w:rPr>
          <w:t xml:space="preserve"> 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en-US"/>
          </w:rPr>
          <w:t>of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uk-UA"/>
          </w:rPr>
          <w:t xml:space="preserve"> 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en-US"/>
          </w:rPr>
          <w:t>Cardiovascular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en-US"/>
          </w:rPr>
          <w:t>Disease  Using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en-US"/>
          </w:rPr>
          <w:t>Endothelial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uk-UA"/>
          </w:rPr>
          <w:t xml:space="preserve"> </w:t>
        </w:r>
        <w:r w:rsidR="00BF5A80" w:rsidRPr="005264B0">
          <w:rPr>
            <w:rFonts w:ascii="Times New Roman" w:hAnsi="Times New Roman" w:cs="Times New Roman"/>
            <w:bCs/>
            <w:sz w:val="28"/>
            <w:szCs w:val="28"/>
            <w:lang w:val="en-US"/>
          </w:rPr>
          <w:t>Function Testing</w:t>
        </w:r>
      </w:hyperlink>
      <w:r w:rsidR="00BF5A80" w:rsidRPr="005264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hyperlink r:id="rId22" w:tooltip="Просмотреть информацию о журнале" w:history="1"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Circ. J.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uk-UA"/>
          </w:rPr>
          <w:t>,</w:t>
        </w:r>
        <w:r w:rsidR="00BF5A80" w:rsidRPr="005264B0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</w:hyperlink>
      <w:r w:rsidR="00BF5A80" w:rsidRPr="005264B0">
        <w:rPr>
          <w:rFonts w:ascii="Times New Roman" w:hAnsi="Times New Roman" w:cs="Times New Roman"/>
          <w:sz w:val="28"/>
          <w:szCs w:val="28"/>
          <w:lang w:val="en-US"/>
        </w:rPr>
        <w:t>79 (4)</w:t>
      </w:r>
      <w:r w:rsidR="00BF5A80"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5A80" w:rsidRPr="005264B0">
        <w:rPr>
          <w:rFonts w:ascii="Times New Roman" w:hAnsi="Times New Roman" w:cs="Times New Roman"/>
          <w:sz w:val="28"/>
          <w:szCs w:val="28"/>
          <w:lang w:val="en-US"/>
        </w:rPr>
        <w:t> 685-694.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Biletskyi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S.V.,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Kovalchuk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L.Iu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Petrynych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O.A.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64B0">
        <w:rPr>
          <w:rFonts w:ascii="Times New Roman" w:hAnsi="Times New Roman" w:cs="Times New Roman"/>
          <w:bCs/>
          <w:sz w:val="28"/>
          <w:szCs w:val="28"/>
          <w:lang w:val="en-US"/>
        </w:rPr>
        <w:t>Kazantseva</w:t>
      </w:r>
      <w:proofErr w:type="spellEnd"/>
      <w:r w:rsidRPr="005264B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64B0">
        <w:rPr>
          <w:rFonts w:ascii="Times New Roman" w:hAnsi="Times New Roman" w:cs="Times New Roman"/>
          <w:bCs/>
          <w:sz w:val="28"/>
          <w:szCs w:val="28"/>
        </w:rPr>
        <w:t>Т</w:t>
      </w:r>
      <w:r w:rsidRPr="005264B0">
        <w:rPr>
          <w:rFonts w:ascii="Times New Roman" w:hAnsi="Times New Roman" w:cs="Times New Roman"/>
          <w:bCs/>
          <w:sz w:val="28"/>
          <w:szCs w:val="28"/>
          <w:lang w:val="en-US"/>
        </w:rPr>
        <w:t>.V.</w:t>
      </w:r>
      <w:r w:rsidRPr="005264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26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(2013).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Pokaznyky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prooksydantno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antyoksydantnoho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homeostazu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vmist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monooksydu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nitrohenu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krovi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khvorykh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hipertonichnu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khvorobu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poiednanni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ishemichnoiu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khvoroboiu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sertsia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Indices of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prooxidant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en-US"/>
        </w:rPr>
        <w:t>-antioxidant homeostasis and the content of nitrogen monoxide in the blood of patients with hypertension in combination with coronary heart disease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Bukovynskyi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medychnyi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en-US"/>
        </w:rPr>
        <w:t>visnyk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5264B0">
        <w:rPr>
          <w:rStyle w:val="shorttext"/>
          <w:rFonts w:ascii="Times New Roman" w:hAnsi="Times New Roman" w:cs="Times New Roman"/>
          <w:sz w:val="28"/>
          <w:szCs w:val="28"/>
          <w:lang w:val="en"/>
        </w:rPr>
        <w:t>Bukovinsky</w:t>
      </w:r>
      <w:proofErr w:type="spellEnd"/>
      <w:r w:rsidRPr="005264B0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Medical Bulletin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>, 3 (67), 2, 125-128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Ukrainian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].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Boiko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V.V.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Biletskyi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S.V. (2017).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Pokaznyky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lipidnoho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obminu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oksydantno-antyoksydantnoho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homeostazu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vmist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kintsevykh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metabolitiv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monooksydu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nitrohenu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krovi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u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khvorykh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na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hipertonichnu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khvorobu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komorbidnu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z 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ishemichnoiu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khvoroboiu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sertsia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ta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tsukrovym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diabetom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2-ho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typu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Indices of lipid metabolism, oxidative-antioxidant homeostasis, the content of terminal metabolites of blood nitrogen monoxide in patients with hypertension, comorbid with ischemic heart disease and type 2 diabetes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Bukovynskyi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medychnyi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visnyk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proofErr w:type="spellStart"/>
      <w:r w:rsidRPr="005264B0">
        <w:rPr>
          <w:rStyle w:val="shorttext"/>
          <w:rFonts w:ascii="Times New Roman" w:hAnsi="Times New Roman" w:cs="Times New Roman"/>
          <w:sz w:val="28"/>
          <w:szCs w:val="28"/>
          <w:lang w:val="en"/>
        </w:rPr>
        <w:t>Bukovinsky</w:t>
      </w:r>
      <w:proofErr w:type="spellEnd"/>
      <w:r w:rsidRPr="005264B0">
        <w:rPr>
          <w:rStyle w:val="short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Style w:val="shorttext"/>
          <w:rFonts w:ascii="Times New Roman" w:hAnsi="Times New Roman" w:cs="Times New Roman"/>
          <w:sz w:val="28"/>
          <w:szCs w:val="28"/>
          <w:lang w:val="en"/>
        </w:rPr>
        <w:t>Medical</w:t>
      </w:r>
      <w:r w:rsidRPr="005264B0">
        <w:rPr>
          <w:rStyle w:val="short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4B0">
        <w:rPr>
          <w:rStyle w:val="shorttext"/>
          <w:rFonts w:ascii="Times New Roman" w:hAnsi="Times New Roman" w:cs="Times New Roman"/>
          <w:sz w:val="28"/>
          <w:szCs w:val="28"/>
          <w:lang w:val="en"/>
        </w:rPr>
        <w:t>Bulletin</w:t>
      </w:r>
      <w:r w:rsidRPr="005264B0">
        <w:rPr>
          <w:rStyle w:val="shorttext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2 (82), 2, 12-15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Ukrainian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].</w:t>
      </w:r>
    </w:p>
    <w:p w:rsidR="00BF5A80" w:rsidRPr="005264B0" w:rsidRDefault="00BF5A80" w:rsidP="00BF5A80">
      <w:pPr>
        <w:pStyle w:val="aa"/>
        <w:numPr>
          <w:ilvl w:val="0"/>
          <w:numId w:val="23"/>
        </w:numPr>
        <w:spacing w:after="0" w:line="360" w:lineRule="auto"/>
        <w:ind w:left="0"/>
        <w:jc w:val="both"/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Reznikov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O.H.,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Polumbryk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O.M.,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Balon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Ya.H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Polumbryk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, M.O. (2014).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Pro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ta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antyoksydantna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systemy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patolohichni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protsesy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orhanizmi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liudyny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5264B0">
        <w:rPr>
          <w:rFonts w:ascii="Times New Roman" w:hAnsi="Times New Roman" w:cs="Times New Roman"/>
          <w:sz w:val="28"/>
          <w:szCs w:val="28"/>
          <w:lang w:val="en-US"/>
        </w:rPr>
        <w:t>Pro-and antioxidant systems and pathological processes in the human body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Visn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. NAN </w:t>
      </w:r>
      <w:proofErr w:type="spellStart"/>
      <w:r w:rsidRPr="005264B0">
        <w:rPr>
          <w:rFonts w:ascii="Times New Roman" w:hAnsi="Times New Roman" w:cs="Times New Roman"/>
          <w:sz w:val="28"/>
          <w:szCs w:val="28"/>
          <w:lang w:val="uk-UA"/>
        </w:rPr>
        <w:t>Ukrainy</w:t>
      </w:r>
      <w:proofErr w:type="spellEnd"/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5264B0">
        <w:rPr>
          <w:rStyle w:val="shorttext"/>
          <w:rFonts w:ascii="Times New Roman" w:hAnsi="Times New Roman" w:cs="Times New Roman"/>
          <w:sz w:val="28"/>
          <w:szCs w:val="28"/>
          <w:lang w:val="en"/>
        </w:rPr>
        <w:t>Bulletin of the National Academy of Sciences of Ukraine</w:t>
      </w:r>
      <w:r w:rsidRPr="005264B0">
        <w:rPr>
          <w:rStyle w:val="shorttext"/>
          <w:rFonts w:ascii="Times New Roman" w:hAnsi="Times New Roman" w:cs="Times New Roman"/>
          <w:sz w:val="28"/>
          <w:szCs w:val="28"/>
          <w:lang w:val="uk-UA"/>
        </w:rPr>
        <w:t>,</w:t>
      </w:r>
      <w:r w:rsidRPr="005264B0">
        <w:rPr>
          <w:rFonts w:ascii="Times New Roman" w:hAnsi="Times New Roman" w:cs="Times New Roman"/>
          <w:sz w:val="28"/>
          <w:szCs w:val="28"/>
          <w:lang w:val="uk-UA"/>
        </w:rPr>
        <w:t xml:space="preserve"> 10, 17-29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in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en-US"/>
        </w:rPr>
        <w:t>Ukrainian</w:t>
      </w:r>
      <w:r w:rsidRPr="005264B0">
        <w:rPr>
          <w:rStyle w:val="A00"/>
          <w:rFonts w:ascii="Times New Roman" w:hAnsi="Times New Roman" w:cs="Times New Roman"/>
          <w:color w:val="auto"/>
          <w:sz w:val="28"/>
          <w:szCs w:val="28"/>
          <w:lang w:val="uk-UA"/>
        </w:rPr>
        <w:t>].</w:t>
      </w:r>
    </w:p>
    <w:sectPr w:rsidR="00BF5A80" w:rsidRPr="005264B0" w:rsidSect="006528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961"/>
    <w:multiLevelType w:val="hybridMultilevel"/>
    <w:tmpl w:val="5F303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8B42CF"/>
    <w:multiLevelType w:val="hybridMultilevel"/>
    <w:tmpl w:val="5B288C7E"/>
    <w:lvl w:ilvl="0" w:tplc="26B678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C2A8A"/>
    <w:multiLevelType w:val="hybridMultilevel"/>
    <w:tmpl w:val="47FAD222"/>
    <w:lvl w:ilvl="0" w:tplc="A626AC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7E05"/>
    <w:multiLevelType w:val="hybridMultilevel"/>
    <w:tmpl w:val="9732D562"/>
    <w:lvl w:ilvl="0" w:tplc="9EF0D6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04A2"/>
    <w:multiLevelType w:val="hybridMultilevel"/>
    <w:tmpl w:val="3996A582"/>
    <w:lvl w:ilvl="0" w:tplc="D7F804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BDC"/>
    <w:multiLevelType w:val="hybridMultilevel"/>
    <w:tmpl w:val="C3A62FFE"/>
    <w:lvl w:ilvl="0" w:tplc="97B475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A14421"/>
    <w:multiLevelType w:val="hybridMultilevel"/>
    <w:tmpl w:val="59F68A4C"/>
    <w:lvl w:ilvl="0" w:tplc="139EF54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373541"/>
    <w:multiLevelType w:val="hybridMultilevel"/>
    <w:tmpl w:val="0758F946"/>
    <w:lvl w:ilvl="0" w:tplc="AA26F2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B4C76"/>
    <w:multiLevelType w:val="hybridMultilevel"/>
    <w:tmpl w:val="1AAECDBA"/>
    <w:lvl w:ilvl="0" w:tplc="D14E42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5F2F"/>
    <w:multiLevelType w:val="hybridMultilevel"/>
    <w:tmpl w:val="80EA25A4"/>
    <w:lvl w:ilvl="0" w:tplc="5B72B72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DF5075"/>
    <w:multiLevelType w:val="hybridMultilevel"/>
    <w:tmpl w:val="4B5EAB7A"/>
    <w:lvl w:ilvl="0" w:tplc="139EF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C44973"/>
    <w:multiLevelType w:val="hybridMultilevel"/>
    <w:tmpl w:val="8F92470C"/>
    <w:lvl w:ilvl="0" w:tplc="B53C6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4F2B9B"/>
    <w:multiLevelType w:val="hybridMultilevel"/>
    <w:tmpl w:val="0D74791A"/>
    <w:lvl w:ilvl="0" w:tplc="A7BAFB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E0ECF"/>
    <w:multiLevelType w:val="hybridMultilevel"/>
    <w:tmpl w:val="FBF20968"/>
    <w:lvl w:ilvl="0" w:tplc="3EEE832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237B"/>
    <w:multiLevelType w:val="hybridMultilevel"/>
    <w:tmpl w:val="EA600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9D5798"/>
    <w:multiLevelType w:val="hybridMultilevel"/>
    <w:tmpl w:val="59F68A4C"/>
    <w:lvl w:ilvl="0" w:tplc="139EF5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6F159A"/>
    <w:multiLevelType w:val="hybridMultilevel"/>
    <w:tmpl w:val="C7E07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A2C0F"/>
    <w:multiLevelType w:val="hybridMultilevel"/>
    <w:tmpl w:val="DA769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B6ABF"/>
    <w:multiLevelType w:val="hybridMultilevel"/>
    <w:tmpl w:val="59F68A4C"/>
    <w:lvl w:ilvl="0" w:tplc="139EF54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480B53"/>
    <w:multiLevelType w:val="hybridMultilevel"/>
    <w:tmpl w:val="EA28C39A"/>
    <w:lvl w:ilvl="0" w:tplc="9A32EB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E22BC"/>
    <w:multiLevelType w:val="multilevel"/>
    <w:tmpl w:val="756C0DEA"/>
    <w:lvl w:ilvl="0">
      <w:start w:val="1"/>
      <w:numFmt w:val="decimal"/>
      <w:pStyle w:val="ListofProcedure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2977D2"/>
    <w:multiLevelType w:val="multilevel"/>
    <w:tmpl w:val="002C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1"/>
  </w:num>
  <w:num w:numId="16">
    <w:abstractNumId w:val="10"/>
  </w:num>
  <w:num w:numId="17">
    <w:abstractNumId w:val="6"/>
  </w:num>
  <w:num w:numId="18">
    <w:abstractNumId w:val="18"/>
  </w:num>
  <w:num w:numId="19">
    <w:abstractNumId w:val="11"/>
  </w:num>
  <w:num w:numId="20">
    <w:abstractNumId w:val="17"/>
  </w:num>
  <w:num w:numId="21">
    <w:abstractNumId w:val="15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7C"/>
    <w:rsid w:val="0006627C"/>
    <w:rsid w:val="0048114E"/>
    <w:rsid w:val="00596EDB"/>
    <w:rsid w:val="00961450"/>
    <w:rsid w:val="00BF5A80"/>
    <w:rsid w:val="00CF4744"/>
    <w:rsid w:val="00D2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161A1-9B5F-4095-A0B4-6CCC3C4D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80"/>
    <w:pPr>
      <w:spacing w:after="20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5A8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A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A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A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5A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5A80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BF5A80"/>
  </w:style>
  <w:style w:type="character" w:styleId="a3">
    <w:name w:val="Strong"/>
    <w:basedOn w:val="a0"/>
    <w:uiPriority w:val="22"/>
    <w:qFormat/>
    <w:rsid w:val="00BF5A80"/>
    <w:rPr>
      <w:b/>
      <w:bCs/>
    </w:rPr>
  </w:style>
  <w:style w:type="character" w:customStyle="1" w:styleId="shorttext">
    <w:name w:val="short_text"/>
    <w:basedOn w:val="a0"/>
    <w:rsid w:val="00BF5A80"/>
  </w:style>
  <w:style w:type="character" w:customStyle="1" w:styleId="st">
    <w:name w:val="st"/>
    <w:basedOn w:val="a0"/>
    <w:rsid w:val="00BF5A80"/>
  </w:style>
  <w:style w:type="character" w:customStyle="1" w:styleId="fontstyle19">
    <w:name w:val="fontstyle19"/>
    <w:basedOn w:val="a0"/>
    <w:rsid w:val="00BF5A80"/>
  </w:style>
  <w:style w:type="table" w:styleId="a4">
    <w:name w:val="Table Grid"/>
    <w:basedOn w:val="a1"/>
    <w:uiPriority w:val="59"/>
    <w:rsid w:val="00BF5A8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F5A8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F5A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5A80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F5A80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Emphasis"/>
    <w:basedOn w:val="a0"/>
    <w:uiPriority w:val="20"/>
    <w:qFormat/>
    <w:rsid w:val="00BF5A80"/>
    <w:rPr>
      <w:i/>
      <w:iCs/>
    </w:rPr>
  </w:style>
  <w:style w:type="paragraph" w:styleId="aa">
    <w:name w:val="List Paragraph"/>
    <w:basedOn w:val="a"/>
    <w:uiPriority w:val="99"/>
    <w:qFormat/>
    <w:rsid w:val="00BF5A80"/>
    <w:pPr>
      <w:ind w:left="720"/>
      <w:contextualSpacing/>
    </w:pPr>
    <w:rPr>
      <w:rFonts w:asciiTheme="minorHAnsi" w:hAnsiTheme="minorHAnsi"/>
      <w:sz w:val="22"/>
      <w:lang w:val="ru-RU"/>
    </w:rPr>
  </w:style>
  <w:style w:type="paragraph" w:styleId="ab">
    <w:name w:val="No Spacing"/>
    <w:uiPriority w:val="1"/>
    <w:qFormat/>
    <w:rsid w:val="00BF5A80"/>
    <w:pPr>
      <w:spacing w:after="0" w:line="240" w:lineRule="auto"/>
    </w:pPr>
    <w:rPr>
      <w:rFonts w:eastAsiaTheme="minorEastAsia"/>
      <w:lang w:val="ru-RU" w:eastAsia="ru-RU"/>
    </w:rPr>
  </w:style>
  <w:style w:type="character" w:styleId="HTML">
    <w:name w:val="HTML Code"/>
    <w:semiHidden/>
    <w:unhideWhenUsed/>
    <w:rsid w:val="00BF5A80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ListofProcedures">
    <w:name w:val="List of Procedures"/>
    <w:basedOn w:val="a"/>
    <w:rsid w:val="00BF5A80"/>
    <w:pPr>
      <w:numPr>
        <w:numId w:val="8"/>
      </w:numPr>
      <w:tabs>
        <w:tab w:val="num" w:pos="360"/>
        <w:tab w:val="left" w:pos="567"/>
      </w:tabs>
      <w:spacing w:before="60" w:after="120" w:line="240" w:lineRule="auto"/>
      <w:ind w:left="900"/>
    </w:pPr>
    <w:rPr>
      <w:rFonts w:eastAsia="Times New Roman" w:cs="Times New Roman"/>
      <w:sz w:val="24"/>
      <w:szCs w:val="24"/>
      <w:lang w:eastAsia="ru-RU"/>
    </w:rPr>
  </w:style>
  <w:style w:type="character" w:customStyle="1" w:styleId="cutsite">
    <w:name w:val="cutsite"/>
    <w:basedOn w:val="a0"/>
    <w:rsid w:val="00BF5A80"/>
  </w:style>
  <w:style w:type="character" w:customStyle="1" w:styleId="cit">
    <w:name w:val="cit"/>
    <w:basedOn w:val="a0"/>
    <w:rsid w:val="00BF5A80"/>
  </w:style>
  <w:style w:type="paragraph" w:styleId="ac">
    <w:name w:val="Body Text"/>
    <w:basedOn w:val="a"/>
    <w:link w:val="ad"/>
    <w:unhideWhenUsed/>
    <w:rsid w:val="00BF5A80"/>
    <w:pPr>
      <w:widowControl w:val="0"/>
      <w:shd w:val="clear" w:color="auto" w:fill="FFFFFF"/>
      <w:suppressAutoHyphens/>
      <w:spacing w:after="0" w:line="240" w:lineRule="atLeast"/>
      <w:ind w:hanging="360"/>
      <w:jc w:val="both"/>
    </w:pPr>
    <w:rPr>
      <w:rFonts w:eastAsia="Times New Roman" w:cs="Times New Roman"/>
      <w:sz w:val="23"/>
      <w:szCs w:val="23"/>
      <w:lang w:eastAsia="zh-CN"/>
    </w:rPr>
  </w:style>
  <w:style w:type="character" w:customStyle="1" w:styleId="ad">
    <w:name w:val="Основний текст Знак"/>
    <w:basedOn w:val="a0"/>
    <w:link w:val="ac"/>
    <w:rsid w:val="00BF5A80"/>
    <w:rPr>
      <w:rFonts w:ascii="Times New Roman" w:eastAsia="Times New Roman" w:hAnsi="Times New Roman" w:cs="Times New Roman"/>
      <w:sz w:val="23"/>
      <w:szCs w:val="23"/>
      <w:shd w:val="clear" w:color="auto" w:fill="FFFFFF"/>
      <w:lang w:eastAsia="zh-CN"/>
    </w:rPr>
  </w:style>
  <w:style w:type="paragraph" w:customStyle="1" w:styleId="sourcetitle">
    <w:name w:val="sourcetitle"/>
    <w:basedOn w:val="a"/>
    <w:uiPriority w:val="99"/>
    <w:semiHidden/>
    <w:rsid w:val="00BF5A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notranslate">
    <w:name w:val="notranslate"/>
    <w:basedOn w:val="a0"/>
    <w:rsid w:val="00BF5A80"/>
  </w:style>
  <w:style w:type="paragraph" w:customStyle="1" w:styleId="Default">
    <w:name w:val="Default"/>
    <w:rsid w:val="00BF5A80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  <w:lang w:val="ru-RU"/>
    </w:rPr>
  </w:style>
  <w:style w:type="paragraph" w:customStyle="1" w:styleId="style7">
    <w:name w:val="style7"/>
    <w:basedOn w:val="a"/>
    <w:uiPriority w:val="99"/>
    <w:rsid w:val="00BF5A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Pa8">
    <w:name w:val="Pa8"/>
    <w:basedOn w:val="Default"/>
    <w:next w:val="Default"/>
    <w:uiPriority w:val="99"/>
    <w:rsid w:val="00BF5A80"/>
    <w:pPr>
      <w:spacing w:line="18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BF5A80"/>
    <w:rPr>
      <w:rFonts w:cs="Ubuntu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s://www.ncbi.nlm.nih.gov/pubmed/?term=Capewell%20S%5BAuthor%5D&amp;cauthor=true&amp;cauthor_uid=23661723" TargetMode="External"/><Relationship Id="rId18" Type="http://schemas.openxmlformats.org/officeDocument/2006/relationships/hyperlink" Target="https://www.ncbi.nlm.nih.gov/pubmed/?term=Kwon%20TG%5BAuthor%5D&amp;cauthor=true&amp;cauthor_uid=257400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s.webofknowledge.com/full_record.do?product=WOS&amp;search_mode=GeneralSearch&amp;qid=3&amp;SID=2A31SXp7DiGs8v7mu6I&amp;page=5&amp;doc=43&amp;cacheurlFromRightClick=no" TargetMode="External"/><Relationship Id="rId7" Type="http://schemas.openxmlformats.org/officeDocument/2006/relationships/hyperlink" Target="https://apps.webofknowledge.com/full_record.do?product=WOS&amp;search_mode=GeneralSearch&amp;qid=3&amp;SID=2A31SXp7DiGs8v7mu6I&amp;page=5&amp;doc=43&amp;cacheurlFromRightClick=no" TargetMode="External"/><Relationship Id="rId12" Type="http://schemas.openxmlformats.org/officeDocument/2006/relationships/hyperlink" Target="https://www.ncbi.nlm.nih.gov/pubmed/?term=Ford%20ES%5BAuthor%5D&amp;cauthor=true&amp;cauthor_uid=23661723" TargetMode="External"/><Relationship Id="rId17" Type="http://schemas.openxmlformats.org/officeDocument/2006/relationships/hyperlink" Target="https://www.ncbi.nlm.nih.gov/pubmed/?term=Guddeti%20RR%5BAuthor%5D&amp;cauthor=true&amp;cauthor_uid=257400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Matsuzawa%20Y%5BAuthor%5D&amp;cauthor=true&amp;cauthor_uid=25740088" TargetMode="External"/><Relationship Id="rId20" Type="http://schemas.openxmlformats.org/officeDocument/2006/relationships/hyperlink" Target="https://www.ncbi.nlm.nih.gov/pubmed/?term=Lerman%20A%5BAuthor%5D&amp;cauthor=true&amp;cauthor_uid=257400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s.webofknowledge.com/full_record.do?product=WOS&amp;search_mode=GeneralSearch&amp;qid=1&amp;SID=2A31SXp7DiGs8v7mu6I&amp;page=6&amp;doc=58" TargetMode="External"/><Relationship Id="rId11" Type="http://schemas.openxmlformats.org/officeDocument/2006/relationships/hyperlink" Target="https://www.ncbi.nlm.nih.gov/pubmed/?term=O%26%23x02019%3BFlaherty%20M%5BAuthor%5D&amp;cauthor=true&amp;cauthor_uid=2366172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mif-ua.com/archive/article/37263" TargetMode="External"/><Relationship Id="rId15" Type="http://schemas.openxmlformats.org/officeDocument/2006/relationships/hyperlink" Target="https://apps.webofknowledge.com/full_record.do?product=WOS&amp;search_mode=GeneralSearch&amp;qid=1&amp;SID=2A31SXp7DiGs8v7mu6I&amp;page=6&amp;doc=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cbi.nlm.nih.gov/pubmed/?term=Castillo%20MG%5BAuthor%5D&amp;cauthor=true&amp;cauthor_uid=23661723" TargetMode="External"/><Relationship Id="rId19" Type="http://schemas.openxmlformats.org/officeDocument/2006/relationships/hyperlink" Target="https://www.ncbi.nlm.nih.gov/pubmed/?term=Lerman%20LO%5BAuthor%5D&amp;cauthor=true&amp;cauthor_uid=2574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Labarthe%20DR%5BAuthor%5D&amp;cauthor=true&amp;cauthor_uid=23661723" TargetMode="External"/><Relationship Id="rId14" Type="http://schemas.openxmlformats.org/officeDocument/2006/relationships/hyperlink" Target="http://www.mif-ua.com/archive/article/37263" TargetMode="External"/><Relationship Id="rId22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18860</Words>
  <Characters>10751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2018-06-18T18:51:00Z</dcterms:created>
  <dcterms:modified xsi:type="dcterms:W3CDTF">2018-06-18T19:28:00Z</dcterms:modified>
</cp:coreProperties>
</file>