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F4" w:rsidRPr="00A270FF" w:rsidRDefault="006232F4" w:rsidP="00C349B0">
      <w:pPr>
        <w:rPr>
          <w:rFonts w:ascii="Times New Roman" w:hAnsi="Times New Roman" w:cs="Times New Roman"/>
          <w:sz w:val="28"/>
          <w:szCs w:val="28"/>
        </w:rPr>
      </w:pPr>
      <w:r w:rsidRPr="00A270FF">
        <w:rPr>
          <w:rFonts w:ascii="Times New Roman" w:hAnsi="Times New Roman" w:cs="Times New Roman"/>
          <w:sz w:val="28"/>
          <w:szCs w:val="28"/>
        </w:rPr>
        <w:t>УДК: 616. 314. 17 – 018.4 – 02: 616 -056. 52] – 053. 2</w:t>
      </w:r>
    </w:p>
    <w:p w:rsidR="003E33B3" w:rsidRPr="00A270FF" w:rsidRDefault="003E33B3" w:rsidP="003E33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FF">
        <w:rPr>
          <w:rFonts w:ascii="Times New Roman" w:hAnsi="Times New Roman" w:cs="Times New Roman"/>
          <w:sz w:val="28"/>
          <w:szCs w:val="28"/>
        </w:rPr>
        <w:t>Лебідь О.І., Дуда К.М.</w:t>
      </w:r>
    </w:p>
    <w:p w:rsidR="00803D45" w:rsidRDefault="00C349B0" w:rsidP="000139D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ОСОБЛИВОСТІ КЛІНІЧНИХ ПРОЯВІВ</w:t>
      </w:r>
      <w:r w:rsidRPr="00C349B0">
        <w:rPr>
          <w:rFonts w:ascii="Times New Roman" w:hAnsi="Times New Roman" w:cs="Times New Roman"/>
          <w:b/>
          <w:sz w:val="32"/>
          <w:szCs w:val="32"/>
        </w:rPr>
        <w:t xml:space="preserve"> УРАЖЕННЯ ТКАНИН ПАРОДОНТА У </w:t>
      </w:r>
      <w:r>
        <w:rPr>
          <w:rFonts w:ascii="Times New Roman" w:hAnsi="Times New Roman" w:cs="Times New Roman"/>
          <w:b/>
          <w:sz w:val="32"/>
          <w:szCs w:val="32"/>
        </w:rPr>
        <w:t>ПІДЛІТКІВ</w:t>
      </w:r>
      <w:r w:rsidRPr="00C349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39C">
        <w:rPr>
          <w:rFonts w:ascii="Times New Roman" w:hAnsi="Times New Roman" w:cs="Times New Roman"/>
          <w:b/>
          <w:sz w:val="32"/>
          <w:szCs w:val="32"/>
        </w:rPr>
        <w:t>НА ТЛІ АЛІМЕНТАРНО-КОНСТИТУЦІЙНОГО ОЖИРІННЯ.</w:t>
      </w:r>
    </w:p>
    <w:p w:rsidR="00E14C59" w:rsidRPr="00E14C59" w:rsidRDefault="00E14C59" w:rsidP="000139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>ДВНЗ “Тернопільський держав</w:t>
      </w:r>
      <w:r>
        <w:rPr>
          <w:rFonts w:ascii="Times New Roman" w:hAnsi="Times New Roman" w:cs="Times New Roman"/>
          <w:sz w:val="28"/>
          <w:szCs w:val="28"/>
        </w:rPr>
        <w:t xml:space="preserve">ний медичний університет імені І.Я.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МОЗ України”</w:t>
      </w:r>
    </w:p>
    <w:p w:rsidR="006B341D" w:rsidRDefault="0031739C" w:rsidP="00A270F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39C">
        <w:rPr>
          <w:rFonts w:ascii="Times New Roman" w:hAnsi="Times New Roman" w:cs="Times New Roman"/>
          <w:b/>
          <w:sz w:val="28"/>
          <w:szCs w:val="28"/>
        </w:rPr>
        <w:t>Резюме</w:t>
      </w:r>
      <w:r w:rsidR="006B341D" w:rsidRPr="006B34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466649" w:rsidRPr="0031739C">
        <w:rPr>
          <w:rFonts w:ascii="Times New Roman" w:hAnsi="Times New Roman" w:cs="Times New Roman"/>
          <w:sz w:val="28"/>
          <w:szCs w:val="28"/>
        </w:rPr>
        <w:t xml:space="preserve">У статті представлені результати клінічного обстеження тканин </w:t>
      </w:r>
      <w:proofErr w:type="spellStart"/>
      <w:r w:rsidR="00466649" w:rsidRPr="0031739C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="00466649" w:rsidRPr="0031739C">
        <w:rPr>
          <w:rFonts w:ascii="Times New Roman" w:hAnsi="Times New Roman" w:cs="Times New Roman"/>
          <w:sz w:val="28"/>
          <w:szCs w:val="28"/>
        </w:rPr>
        <w:t xml:space="preserve"> у </w:t>
      </w:r>
      <w:r w:rsidR="00466649" w:rsidRPr="006B341D">
        <w:rPr>
          <w:rFonts w:ascii="Times New Roman" w:hAnsi="Times New Roman" w:cs="Times New Roman"/>
          <w:sz w:val="28"/>
          <w:szCs w:val="28"/>
        </w:rPr>
        <w:t>п</w:t>
      </w:r>
      <w:r w:rsidR="00466649" w:rsidRPr="0031739C">
        <w:rPr>
          <w:rFonts w:ascii="Times New Roman" w:hAnsi="Times New Roman" w:cs="Times New Roman"/>
          <w:sz w:val="28"/>
          <w:szCs w:val="28"/>
        </w:rPr>
        <w:t xml:space="preserve">ідлітків </w:t>
      </w:r>
      <w:r w:rsidRPr="0031739C">
        <w:rPr>
          <w:rFonts w:ascii="Times New Roman" w:hAnsi="Times New Roman" w:cs="Times New Roman"/>
          <w:sz w:val="28"/>
          <w:szCs w:val="28"/>
        </w:rPr>
        <w:t>на тлі аліментарно-конституційного ожиріння</w:t>
      </w:r>
      <w:r w:rsidR="00466649" w:rsidRPr="00317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41D" w:rsidRPr="00E14C59" w:rsidRDefault="006B341D" w:rsidP="006B34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6B341D">
        <w:rPr>
          <w:rFonts w:ascii="Times New Roman" w:hAnsi="Times New Roman" w:cs="Times New Roman"/>
          <w:b/>
          <w:sz w:val="28"/>
          <w:szCs w:val="28"/>
        </w:rPr>
        <w:t>даслідження</w:t>
      </w:r>
      <w:proofErr w:type="spellEnd"/>
      <w:r w:rsidRPr="006B341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Дослідити особливості перебігу захворювань тканини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клінічними показниками у осіб з аліментарно-конституційним ожирінням.</w:t>
      </w:r>
    </w:p>
    <w:p w:rsidR="006B341D" w:rsidRPr="00E14C59" w:rsidRDefault="006B341D" w:rsidP="006B341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Матеріали та методи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обстеженння</w:t>
      </w:r>
      <w:proofErr w:type="spellEnd"/>
      <w:r w:rsidRPr="006B341D">
        <w:rPr>
          <w:rFonts w:ascii="Times New Roman" w:hAnsi="Times New Roman" w:cs="Times New Roman"/>
          <w:b/>
          <w:sz w:val="28"/>
          <w:szCs w:val="28"/>
        </w:rPr>
        <w:t>:</w:t>
      </w:r>
      <w:r w:rsidRPr="006B341D">
        <w:rPr>
          <w:rFonts w:ascii="Times New Roman" w:hAnsi="Times New Roman" w:cs="Times New Roman"/>
          <w:sz w:val="28"/>
          <w:szCs w:val="28"/>
        </w:rPr>
        <w:t xml:space="preserve"> </w:t>
      </w:r>
      <w:r w:rsidRPr="00E14C59">
        <w:rPr>
          <w:rFonts w:ascii="Times New Roman" w:hAnsi="Times New Roman" w:cs="Times New Roman"/>
          <w:sz w:val="28"/>
          <w:szCs w:val="28"/>
        </w:rPr>
        <w:t xml:space="preserve">У результаті проведеного обстеження 95 підлітків віком 16-18 років було включено </w:t>
      </w:r>
      <w:r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вивчення особливостей перебігу запальних захворювань тканин </w:t>
      </w:r>
      <w:proofErr w:type="spellStart"/>
      <w:r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 підлітків з АКО 76 підлітків та 19 підлітків з гармонійним фізичним розвитком.</w:t>
      </w:r>
    </w:p>
    <w:p w:rsidR="006B341D" w:rsidRPr="00E14C59" w:rsidRDefault="006B341D" w:rsidP="006B34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>Для уточнення діагнозу «надмірно маса тіла» визначали вагу та ріст пацієнта, а також вимірювали окружність талії та стегон. Надалі розрахували індекс маси тіла (ІМТ), як співвідношення  маси тіла в кг до квадрату величини росту в м</w:t>
      </w:r>
      <w:r w:rsidRPr="00E14C5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14C59">
        <w:rPr>
          <w:rFonts w:ascii="Times New Roman" w:hAnsi="Times New Roman" w:cs="Times New Roman"/>
          <w:sz w:val="28"/>
          <w:szCs w:val="28"/>
        </w:rPr>
        <w:t>. Діагноз надмірна маса тіла підтверджували при ІМТ менше 30 кг/м</w:t>
      </w:r>
      <w:r w:rsidRPr="00E14C5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4C59">
        <w:rPr>
          <w:rFonts w:ascii="Times New Roman" w:hAnsi="Times New Roman" w:cs="Times New Roman"/>
          <w:sz w:val="28"/>
          <w:szCs w:val="28"/>
        </w:rPr>
        <w:t>.</w:t>
      </w:r>
    </w:p>
    <w:p w:rsidR="006B341D" w:rsidRPr="00E14C59" w:rsidRDefault="006B341D" w:rsidP="006B34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C59">
        <w:rPr>
          <w:rFonts w:ascii="Times New Roman" w:hAnsi="Times New Roman" w:cs="Times New Roman"/>
          <w:sz w:val="28"/>
          <w:szCs w:val="28"/>
        </w:rPr>
        <w:t xml:space="preserve">Оцінку стану тканин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здійснювали за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єктивними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і об</w:t>
      </w:r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єктивними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критеріями (клінічні показники, індексна оцінка).</w:t>
      </w:r>
      <w:r w:rsidRPr="006B341D">
        <w:rPr>
          <w:rFonts w:ascii="Times New Roman" w:hAnsi="Times New Roman" w:cs="Times New Roman"/>
          <w:sz w:val="28"/>
          <w:szCs w:val="28"/>
        </w:rPr>
        <w:t xml:space="preserve"> </w:t>
      </w:r>
      <w:r w:rsidRPr="00E14C59">
        <w:rPr>
          <w:rFonts w:ascii="Times New Roman" w:hAnsi="Times New Roman" w:cs="Times New Roman"/>
          <w:sz w:val="28"/>
          <w:szCs w:val="28"/>
        </w:rPr>
        <w:t xml:space="preserve">Для верифікації патологічного процесу в пародонті використовували класифікацію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М.Ф.Данилевського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(1994). Стан тканин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описували за допомог</w:t>
      </w:r>
      <w:r>
        <w:rPr>
          <w:rFonts w:ascii="Times New Roman" w:hAnsi="Times New Roman" w:cs="Times New Roman"/>
          <w:sz w:val="28"/>
          <w:szCs w:val="28"/>
        </w:rPr>
        <w:t>ою традиційної індексної оцінки</w:t>
      </w:r>
      <w:r w:rsidRPr="00E14C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41D" w:rsidRPr="00E14C59" w:rsidRDefault="006B341D" w:rsidP="006B341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 xml:space="preserve">Статистичну обробку результатів проводили з використанням загальноприйнятих методів варіаційної статистики за допомогою персонального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ютера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з використанням пакету статистичних програм </w:t>
      </w:r>
    </w:p>
    <w:p w:rsidR="006B341D" w:rsidRPr="006B341D" w:rsidRDefault="006B341D" w:rsidP="006B341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14C59">
        <w:rPr>
          <w:rFonts w:ascii="Times New Roman" w:hAnsi="Times New Roman" w:cs="Times New Roman"/>
          <w:sz w:val="28"/>
          <w:szCs w:val="28"/>
          <w:lang w:val="en-US"/>
        </w:rPr>
        <w:t>Statistica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8,0” (‘”</w:t>
      </w:r>
      <w:proofErr w:type="spellStart"/>
      <w:r w:rsidRPr="00E14C59">
        <w:rPr>
          <w:rFonts w:ascii="Times New Roman" w:hAnsi="Times New Roman" w:cs="Times New Roman"/>
          <w:sz w:val="28"/>
          <w:szCs w:val="28"/>
          <w:lang w:val="en-US"/>
        </w:rPr>
        <w:t>Statsoft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”, США). Рівень вірогідності оцінювали на рівні 95 % (р&lt;0,05) з використанням </w:t>
      </w:r>
      <w:r w:rsidRPr="00E14C5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4C59">
        <w:rPr>
          <w:rFonts w:ascii="Times New Roman" w:hAnsi="Times New Roman" w:cs="Times New Roman"/>
          <w:sz w:val="28"/>
          <w:szCs w:val="28"/>
        </w:rPr>
        <w:t xml:space="preserve"> критерію </w:t>
      </w:r>
      <w:proofErr w:type="spellStart"/>
      <w:r w:rsidRPr="006B341D">
        <w:rPr>
          <w:rFonts w:ascii="Times New Roman" w:hAnsi="Times New Roman" w:cs="Times New Roman"/>
          <w:sz w:val="28"/>
          <w:szCs w:val="28"/>
        </w:rPr>
        <w:t>Ст’</w:t>
      </w:r>
      <w:r w:rsidRPr="00E14C59">
        <w:rPr>
          <w:rFonts w:ascii="Times New Roman" w:hAnsi="Times New Roman" w:cs="Times New Roman"/>
          <w:sz w:val="28"/>
          <w:szCs w:val="28"/>
        </w:rPr>
        <w:t>юдента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341D" w:rsidRPr="006B341D" w:rsidRDefault="006B341D" w:rsidP="006B34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E14C59">
        <w:rPr>
          <w:rFonts w:ascii="Times New Roman" w:eastAsia="Calibri" w:hAnsi="Times New Roman" w:cs="Times New Roman"/>
          <w:b/>
          <w:sz w:val="28"/>
          <w:szCs w:val="28"/>
        </w:rPr>
        <w:t>Висновки: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Отже, клінічні показники стану тканин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на тлі аліментарно-конституційного ожиріння (індекс Федорова-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Володкіної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, індекс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Green-Vermillion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, індекс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Sillness-Loe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, показник CPITN) значно погіршуються порівняно з відповідними показниками у контрольній групі підлітків без АКО, що вказує на вплив аліментарно-конституційного ожиріння на клінічний перебіг,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вираженість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та важкість запального процесу і доцільність проведення своєчасної та ефективної фармакотерапії.</w:t>
      </w:r>
    </w:p>
    <w:p w:rsidR="00B47173" w:rsidRDefault="00466649" w:rsidP="000139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41D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31739C">
        <w:rPr>
          <w:rFonts w:ascii="Times New Roman" w:hAnsi="Times New Roman" w:cs="Times New Roman"/>
          <w:sz w:val="28"/>
          <w:szCs w:val="28"/>
        </w:rPr>
        <w:t xml:space="preserve"> </w:t>
      </w:r>
      <w:r w:rsidR="000E098D">
        <w:rPr>
          <w:rFonts w:ascii="Times New Roman" w:hAnsi="Times New Roman" w:cs="Times New Roman"/>
          <w:sz w:val="28"/>
          <w:szCs w:val="28"/>
        </w:rPr>
        <w:t>аліментарно-конституційне ожиріння</w:t>
      </w:r>
      <w:r w:rsidRPr="0031739C">
        <w:rPr>
          <w:rFonts w:ascii="Times New Roman" w:hAnsi="Times New Roman" w:cs="Times New Roman"/>
          <w:sz w:val="28"/>
          <w:szCs w:val="28"/>
        </w:rPr>
        <w:t>, захворю</w:t>
      </w:r>
      <w:r w:rsidR="00E14C59" w:rsidRPr="0031739C">
        <w:rPr>
          <w:rFonts w:ascii="Times New Roman" w:hAnsi="Times New Roman" w:cs="Times New Roman"/>
          <w:sz w:val="28"/>
          <w:szCs w:val="28"/>
        </w:rPr>
        <w:t xml:space="preserve">вання </w:t>
      </w:r>
      <w:proofErr w:type="spellStart"/>
      <w:r w:rsidR="00E14C59" w:rsidRPr="0031739C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="00E14C59" w:rsidRPr="0031739C">
        <w:rPr>
          <w:rFonts w:ascii="Times New Roman" w:hAnsi="Times New Roman" w:cs="Times New Roman"/>
          <w:sz w:val="28"/>
          <w:szCs w:val="28"/>
        </w:rPr>
        <w:t>.</w:t>
      </w:r>
    </w:p>
    <w:p w:rsidR="000E098D" w:rsidRPr="000E098D" w:rsidRDefault="000E098D" w:rsidP="000E0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Лебедь А.И., Дуда К.М.</w:t>
      </w:r>
    </w:p>
    <w:p w:rsidR="000E098D" w:rsidRPr="000E098D" w:rsidRDefault="000E098D" w:rsidP="000E0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E098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ОСОБЕННОСТИ КЛИНИЧЕСКИХ ПРОЯВЛЕНИЙ ПОРАЖЕНИЯ ТКАНЕЙ ПАРОДОНТА У ПОДРОСТКОВ НА ФОНЕ АЛИМЕНТАРНО-КОНСТИТУЦИОНАЛЬНОГО ОЖИРЕНИЯ.</w:t>
      </w:r>
    </w:p>
    <w:p w:rsidR="000E098D" w:rsidRPr="000E098D" w:rsidRDefault="000E098D" w:rsidP="000E0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ГВУЗ "Тернопольский государственный медицинский университет имени И.Я. Горбачевского </w:t>
      </w:r>
      <w:r w:rsidR="00E41C69" w:rsidRPr="00E41C6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 Украины "</w:t>
      </w:r>
    </w:p>
    <w:p w:rsidR="006B341D" w:rsidRPr="006977E2" w:rsidRDefault="006B341D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b/>
        </w:rPr>
        <w:br/>
      </w:r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Резюме: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представлены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тканей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фоне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алиментарно-конституционального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41D" w:rsidRPr="006977E2" w:rsidRDefault="006B341D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r w:rsidR="006977E2"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исследования</w:t>
      </w:r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показаниям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лиц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алиментарно-конституционным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ожирением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098D" w:rsidRPr="006977E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</w:p>
    <w:p w:rsidR="006977E2" w:rsidRP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977E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Материалы и методы </w:t>
      </w:r>
      <w:r w:rsidRPr="006977E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обследования:</w:t>
      </w:r>
      <w:r w:rsidRPr="006977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результате проведенного обследования 95 подростков в возрасте 16-18 лет были включены для изучения особенностей течения воспалительных заболеваний тканей пародонта у подростков с АКО 76 подростков и 19 подростков с гармоничным физическим развитием.</w:t>
      </w:r>
    </w:p>
    <w:p w:rsidR="006977E2" w:rsidRP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77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6977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Для уточнения диагноза «чрезмерно масса тела» определяли вес и рост пациента, а также измеряли окружность талии и бедер. В дальнейшем рассчитали индекс массы тела (ИМТ), как соотношение массы тела в кг к квадрату величины роста в м2. Диагноз избыточная масса тела подтверждали при ИМТ менее 30 кг / м2.</w:t>
      </w:r>
    </w:p>
    <w:p w:rsid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Оценку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тканей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субъективным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объективным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индексная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Для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патологического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пародонте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классификацию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М.Ф.Данилевського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(1994).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тканей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описывали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помощью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Статистическую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обработку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общепринятых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вариационной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статистики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помощью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персонального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пакета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статистических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Statistica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8,0" </w:t>
      </w:r>
    </w:p>
    <w:p w:rsidR="006977E2" w:rsidRP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( ' "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Statsoft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США).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95% (р &lt;0,05)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Стьюдента.</w:t>
      </w:r>
    </w:p>
    <w:p w:rsidR="006977E2" w:rsidRP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            </w:t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тканей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фоне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алиментарно-конституционального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Федорова-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Володкиной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Green-Vermillion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Sillness-Loe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CPITN)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ухудшаются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сравнению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соответствующими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показателями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АКО,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алиментарно-конституционального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клиническое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выраженность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тяжесть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воспалительного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целесообразность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эффективной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фармакотерапии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098D" w:rsidRPr="000E098D" w:rsidRDefault="000E098D" w:rsidP="000E0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098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Ключевые слова:</w:t>
      </w:r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алиментарно-</w:t>
      </w:r>
      <w:proofErr w:type="spellStart"/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констутиционное</w:t>
      </w:r>
      <w:proofErr w:type="spellEnd"/>
      <w:r w:rsidRPr="000E09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ожирение, заболевания пародонта.</w:t>
      </w:r>
    </w:p>
    <w:p w:rsidR="000E098D" w:rsidRPr="00E41C69" w:rsidRDefault="000E098D" w:rsidP="00E41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br/>
      </w:r>
      <w:proofErr w:type="spellStart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>Lebid</w:t>
      </w:r>
      <w:proofErr w:type="spellEnd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O.I., </w:t>
      </w:r>
      <w:proofErr w:type="spellStart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>Duda</w:t>
      </w:r>
      <w:proofErr w:type="spellEnd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K.M. </w:t>
      </w:r>
    </w:p>
    <w:p w:rsidR="000E098D" w:rsidRPr="000139D7" w:rsidRDefault="000E098D" w:rsidP="00E41C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FEATURES OF CLINICAL MANIFESTATIONS OF PERODONTAL TISSUE DAMAGE IN ADOLESCENTS ON THE AREA OF ALIMENTARY-CONSTITUTIONAL O</w:t>
      </w:r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BESITY</w:t>
      </w:r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E41C69" w:rsidRDefault="00C41D4F" w:rsidP="00E41C6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tooltip="Ternopil State Medical University" w:history="1">
        <w:proofErr w:type="spellStart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Ternopil</w:t>
        </w:r>
        <w:proofErr w:type="spellEnd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 xml:space="preserve"> </w:t>
        </w:r>
        <w:proofErr w:type="spellStart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State</w:t>
        </w:r>
        <w:proofErr w:type="spellEnd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 xml:space="preserve"> </w:t>
        </w:r>
        <w:proofErr w:type="spellStart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Medical</w:t>
        </w:r>
        <w:proofErr w:type="spellEnd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 xml:space="preserve"> </w:t>
        </w:r>
        <w:proofErr w:type="spellStart"/>
        <w:r w:rsidR="00E41C69" w:rsidRPr="00E41C69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University</w:t>
        </w:r>
        <w:proofErr w:type="spellEnd"/>
      </w:hyperlink>
      <w:r w:rsidR="00E41C69" w:rsidRPr="00E41C6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  <w:r w:rsidR="00E41C69" w:rsidRPr="00E41C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by </w:t>
      </w:r>
      <w:proofErr w:type="spellStart"/>
      <w:r w:rsidR="00E41C69" w:rsidRPr="00E41C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I.Ya</w:t>
      </w:r>
      <w:proofErr w:type="spellEnd"/>
      <w:r w:rsidR="00E41C69" w:rsidRPr="00E41C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proofErr w:type="spellStart"/>
      <w:r w:rsidR="00E41C69" w:rsidRPr="00E41C69">
        <w:rPr>
          <w:rFonts w:ascii="Times New Roman" w:eastAsia="Times New Roman" w:hAnsi="Times New Roman" w:cs="Times New Roman"/>
          <w:sz w:val="28"/>
          <w:szCs w:val="28"/>
          <w:lang w:eastAsia="uk-UA"/>
        </w:rPr>
        <w:t>Horbachevsky</w:t>
      </w:r>
      <w:proofErr w:type="spellEnd"/>
    </w:p>
    <w:p w:rsidR="006977E2" w:rsidRPr="006977E2" w:rsidRDefault="006977E2" w:rsidP="006977E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br/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Summary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article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presents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results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clinical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examination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periodontal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tissues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adolescents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against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background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alimentary-constitutional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obesity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77E2" w:rsidRDefault="006977E2" w:rsidP="006977E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Purpose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research</w:t>
      </w:r>
      <w:proofErr w:type="spellEnd"/>
      <w:r w:rsidRPr="006977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investigate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features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course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diseases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periodontal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tissue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according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clinical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indices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persons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with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alimentary-constitutional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obesity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1D4F" w:rsidRPr="006977E2" w:rsidRDefault="00C41D4F" w:rsidP="006977E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977E2" w:rsidRPr="006977E2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6977E2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Materials and methods of inspection:</w:t>
      </w:r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gramStart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As a result</w:t>
      </w:r>
      <w:proofErr w:type="gramEnd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of the survey, 95 adolescents aged 16-18 years old were included to study the features of the course of inflammatory diseases of periodontal tissues in adolescents with </w:t>
      </w:r>
      <w:proofErr w:type="spellStart"/>
      <w:r w:rsidR="00C41D4F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al</w:t>
      </w:r>
      <w:r w:rsidR="00C41D4F">
        <w:rPr>
          <w:rFonts w:ascii="Times New Roman" w:hAnsi="Times New Roman" w:cs="Times New Roman"/>
          <w:sz w:val="28"/>
          <w:szCs w:val="28"/>
          <w:shd w:val="clear" w:color="auto" w:fill="FFFFFF"/>
        </w:rPr>
        <w:t>imentary-constitutional</w:t>
      </w:r>
      <w:proofErr w:type="spellEnd"/>
      <w:r w:rsidR="00C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D4F">
        <w:rPr>
          <w:rFonts w:ascii="Times New Roman" w:hAnsi="Times New Roman" w:cs="Times New Roman"/>
          <w:sz w:val="28"/>
          <w:szCs w:val="28"/>
          <w:shd w:val="clear" w:color="auto" w:fill="FFFFFF"/>
        </w:rPr>
        <w:t>obesity</w:t>
      </w:r>
      <w:proofErr w:type="spellEnd"/>
      <w:r w:rsidR="00C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76 adolescents and 19 adolescents with harmonious physical development.</w:t>
      </w:r>
    </w:p>
    <w:p w:rsidR="00C41D4F" w:rsidRDefault="006977E2" w:rsidP="00C4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          </w:t>
      </w:r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To clarify the diagnosis, "excessive body weight" </w:t>
      </w:r>
      <w:proofErr w:type="gramStart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was determined</w:t>
      </w:r>
      <w:proofErr w:type="gramEnd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by weight and height of the patient, and measured the circumference of the waist and hips. In the future, the body mass index (BMI) </w:t>
      </w:r>
      <w:proofErr w:type="gramStart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was calculated</w:t>
      </w:r>
      <w:proofErr w:type="gramEnd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as the ratio of body weight in kg to square of growth in m2. Diagnosis of excess body weight </w:t>
      </w:r>
      <w:proofErr w:type="gramStart"/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was </w:t>
      </w:r>
      <w:r w:rsidR="00C41D4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confirmed</w:t>
      </w:r>
      <w:proofErr w:type="gramEnd"/>
      <w:r w:rsidR="00C41D4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with BMI less than 30kg/</w:t>
      </w:r>
      <w:r w:rsidRPr="006977E2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m2.</w:t>
      </w:r>
    </w:p>
    <w:p w:rsidR="00C41D4F" w:rsidRDefault="006977E2" w:rsidP="00C4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rFonts w:ascii="Times New Roman" w:hAnsi="Times New Roman" w:cs="Times New Roman"/>
          <w:sz w:val="28"/>
          <w:szCs w:val="28"/>
        </w:rPr>
        <w:br/>
      </w:r>
      <w:r w:rsidR="00C41D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evaluation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condition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periodontal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tissues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carried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out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according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subjective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objective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criteria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clinical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parameters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score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verification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pathological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process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periodontium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classification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MF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Danilevsky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(1994)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used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periodontal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tissues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described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using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traditional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score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41D4F" w:rsidRDefault="00C41D4F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Statistical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processing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results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carried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out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using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commonly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used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methods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variation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statistics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using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personal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computer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using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statistical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software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package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Statistica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8.0" ("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Statsoft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USA).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probabilit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level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estimated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95% (p</w:t>
      </w:r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&lt;0.05)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using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Student's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 </w:t>
      </w:r>
      <w:proofErr w:type="spellStart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criterion</w:t>
      </w:r>
      <w:proofErr w:type="spellEnd"/>
      <w:r w:rsidR="006977E2"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77E2" w:rsidRPr="00C41D4F" w:rsidRDefault="006977E2" w:rsidP="00697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41D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Conclusions</w:t>
      </w:r>
      <w:proofErr w:type="spellEnd"/>
      <w:r w:rsidRPr="00C41D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Consequently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clinical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indicators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state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periodontal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tissues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context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alimentary-constitutional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obesity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Fedorov-Volodkin's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Green-Vermillion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Sillness-Loe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CPITN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index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significantly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deteriorate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compared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with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corresponding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indicators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control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group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adolescents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without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AKO,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indicating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effect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alimentary-constitutional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obesity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clinical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course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severity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severity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inflammatory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process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feasibility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timely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effective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pharmacotherapy</w:t>
      </w:r>
      <w:proofErr w:type="spellEnd"/>
      <w:r w:rsidRPr="00697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098D" w:rsidRDefault="000E098D" w:rsidP="00E41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Key</w:t>
      </w:r>
      <w:proofErr w:type="spellEnd"/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words</w:t>
      </w:r>
      <w:proofErr w:type="spellEnd"/>
      <w:r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0139D7" w:rsidRPr="000139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="00E41C69" w:rsidRPr="00E41C6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alimentary-constitutional obesity</w:t>
      </w:r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>periodontal</w:t>
      </w:r>
      <w:proofErr w:type="spellEnd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>disease</w:t>
      </w:r>
      <w:proofErr w:type="spellEnd"/>
      <w:r w:rsidRPr="00E41C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232F4" w:rsidRPr="00E14C59" w:rsidRDefault="00112019" w:rsidP="003E3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Вступ.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99D" w:rsidRPr="00E14C59">
        <w:rPr>
          <w:rFonts w:ascii="Times New Roman" w:eastAsia="Calibri" w:hAnsi="Times New Roman" w:cs="Times New Roman"/>
          <w:sz w:val="28"/>
          <w:szCs w:val="28"/>
        </w:rPr>
        <w:t xml:space="preserve">Поширеність захворювань тканин </w:t>
      </w:r>
      <w:proofErr w:type="spellStart"/>
      <w:r w:rsidR="0054199D"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="0054199D" w:rsidRPr="00E14C59">
        <w:rPr>
          <w:rFonts w:ascii="Times New Roman" w:eastAsia="Calibri" w:hAnsi="Times New Roman" w:cs="Times New Roman"/>
          <w:sz w:val="28"/>
          <w:szCs w:val="28"/>
        </w:rPr>
        <w:t xml:space="preserve"> у людини </w:t>
      </w:r>
      <w:r w:rsidR="0054199D" w:rsidRPr="00E14C59">
        <w:rPr>
          <w:rFonts w:ascii="Times New Roman" w:hAnsi="Times New Roman" w:cs="Times New Roman"/>
          <w:sz w:val="28"/>
          <w:szCs w:val="28"/>
        </w:rPr>
        <w:t>з</w:t>
      </w:r>
      <w:r w:rsidR="00B47173" w:rsidRPr="00E14C59">
        <w:rPr>
          <w:rFonts w:ascii="Times New Roman" w:hAnsi="Times New Roman" w:cs="Times New Roman"/>
          <w:sz w:val="28"/>
          <w:szCs w:val="28"/>
        </w:rPr>
        <w:t>а даними ВООЗ є шос</w:t>
      </w:r>
      <w:r w:rsidR="006232F4" w:rsidRPr="00E14C59">
        <w:rPr>
          <w:rFonts w:ascii="Times New Roman" w:hAnsi="Times New Roman" w:cs="Times New Roman"/>
          <w:sz w:val="28"/>
          <w:szCs w:val="28"/>
        </w:rPr>
        <w:t>тим за розпо</w:t>
      </w:r>
      <w:r w:rsidR="0054199D" w:rsidRPr="00E14C59">
        <w:rPr>
          <w:rFonts w:ascii="Times New Roman" w:hAnsi="Times New Roman" w:cs="Times New Roman"/>
          <w:sz w:val="28"/>
          <w:szCs w:val="28"/>
        </w:rPr>
        <w:t>всюдженістю захворюванням.</w:t>
      </w:r>
      <w:r w:rsidR="006232F4" w:rsidRPr="00E14C59">
        <w:rPr>
          <w:rFonts w:ascii="Times New Roman" w:hAnsi="Times New Roman" w:cs="Times New Roman"/>
          <w:sz w:val="28"/>
          <w:szCs w:val="28"/>
        </w:rPr>
        <w:t>[1</w:t>
      </w:r>
      <w:r w:rsidR="00C41D4F">
        <w:rPr>
          <w:rFonts w:ascii="Times New Roman" w:hAnsi="Times New Roman" w:cs="Times New Roman"/>
          <w:sz w:val="28"/>
          <w:szCs w:val="28"/>
        </w:rPr>
        <w:t>6</w:t>
      </w:r>
      <w:r w:rsidR="006232F4" w:rsidRPr="00E14C59">
        <w:rPr>
          <w:rFonts w:ascii="Times New Roman" w:hAnsi="Times New Roman" w:cs="Times New Roman"/>
          <w:sz w:val="28"/>
          <w:szCs w:val="28"/>
        </w:rPr>
        <w:t>].</w:t>
      </w:r>
      <w:r w:rsidR="00B47173" w:rsidRPr="00E14C59">
        <w:rPr>
          <w:rFonts w:ascii="Times New Roman" w:hAnsi="Times New Roman" w:cs="Times New Roman"/>
          <w:sz w:val="28"/>
          <w:szCs w:val="28"/>
        </w:rPr>
        <w:t xml:space="preserve"> </w:t>
      </w:r>
      <w:r w:rsidR="0054199D" w:rsidRPr="00E14C59">
        <w:rPr>
          <w:rFonts w:ascii="Times New Roman" w:hAnsi="Times New Roman" w:cs="Times New Roman"/>
          <w:sz w:val="28"/>
          <w:szCs w:val="28"/>
        </w:rPr>
        <w:t>На даний момент, д</w:t>
      </w:r>
      <w:r w:rsidR="00B47173" w:rsidRPr="00E14C59">
        <w:rPr>
          <w:rFonts w:ascii="Times New Roman" w:hAnsi="Times New Roman" w:cs="Times New Roman"/>
          <w:sz w:val="28"/>
          <w:szCs w:val="28"/>
        </w:rPr>
        <w:t xml:space="preserve">оведено, </w:t>
      </w:r>
      <w:r w:rsidR="006232F4" w:rsidRPr="00E14C59">
        <w:rPr>
          <w:rFonts w:ascii="Times New Roman" w:hAnsi="Times New Roman" w:cs="Times New Roman"/>
          <w:sz w:val="28"/>
          <w:szCs w:val="28"/>
        </w:rPr>
        <w:t xml:space="preserve">основним етіологічними чинником розвитку запалення в пародонті є якісні та кількісні зміни мікрофлори порожнини рота, зокрема активація </w:t>
      </w:r>
      <w:proofErr w:type="spellStart"/>
      <w:r w:rsidR="006232F4" w:rsidRPr="00E14C59">
        <w:rPr>
          <w:rFonts w:ascii="Times New Roman" w:hAnsi="Times New Roman" w:cs="Times New Roman"/>
          <w:sz w:val="28"/>
          <w:szCs w:val="28"/>
        </w:rPr>
        <w:t>пародонтопатогенних</w:t>
      </w:r>
      <w:proofErr w:type="spellEnd"/>
      <w:r w:rsidR="006232F4" w:rsidRPr="00E14C59">
        <w:rPr>
          <w:rFonts w:ascii="Times New Roman" w:hAnsi="Times New Roman" w:cs="Times New Roman"/>
          <w:sz w:val="28"/>
          <w:szCs w:val="28"/>
        </w:rPr>
        <w:t xml:space="preserve"> мікроорганізмів [</w:t>
      </w:r>
      <w:r w:rsidR="00C41D4F" w:rsidRPr="00C41D4F">
        <w:rPr>
          <w:rFonts w:ascii="Times New Roman" w:hAnsi="Times New Roman" w:cs="Times New Roman"/>
          <w:sz w:val="28"/>
          <w:szCs w:val="28"/>
        </w:rPr>
        <w:t>9</w:t>
      </w:r>
      <w:r w:rsidR="006232F4" w:rsidRPr="00E14C59">
        <w:rPr>
          <w:rFonts w:ascii="Times New Roman" w:hAnsi="Times New Roman" w:cs="Times New Roman"/>
          <w:sz w:val="28"/>
          <w:szCs w:val="28"/>
        </w:rPr>
        <w:t xml:space="preserve">]. Поруч з тим, резистентність тканин </w:t>
      </w:r>
      <w:proofErr w:type="spellStart"/>
      <w:r w:rsidR="006232F4" w:rsidRPr="00E14C5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="006232F4" w:rsidRPr="00E14C59">
        <w:rPr>
          <w:rFonts w:ascii="Times New Roman" w:hAnsi="Times New Roman" w:cs="Times New Roman"/>
          <w:sz w:val="28"/>
          <w:szCs w:val="28"/>
        </w:rPr>
        <w:t xml:space="preserve"> до патогенної дії м</w:t>
      </w:r>
      <w:r w:rsidR="003107DB" w:rsidRPr="00E14C59">
        <w:rPr>
          <w:rFonts w:ascii="Times New Roman" w:hAnsi="Times New Roman" w:cs="Times New Roman"/>
          <w:sz w:val="28"/>
          <w:szCs w:val="28"/>
        </w:rPr>
        <w:t>ікрооргані</w:t>
      </w:r>
      <w:r w:rsidR="006232F4" w:rsidRPr="00E14C59">
        <w:rPr>
          <w:rFonts w:ascii="Times New Roman" w:hAnsi="Times New Roman" w:cs="Times New Roman"/>
          <w:sz w:val="28"/>
          <w:szCs w:val="28"/>
        </w:rPr>
        <w:t xml:space="preserve">змів визначають системні фактори. Очевидно, що у пацієнтів з тяжкою супутньою патологією ризик виникнення та ступінь тяжкості </w:t>
      </w:r>
      <w:proofErr w:type="spellStart"/>
      <w:r w:rsidR="006232F4" w:rsidRPr="00E14C59">
        <w:rPr>
          <w:rFonts w:ascii="Times New Roman" w:hAnsi="Times New Roman" w:cs="Times New Roman"/>
          <w:sz w:val="28"/>
          <w:szCs w:val="28"/>
        </w:rPr>
        <w:t>пародонтиту</w:t>
      </w:r>
      <w:proofErr w:type="spellEnd"/>
      <w:r w:rsidR="006232F4" w:rsidRPr="00E14C59">
        <w:rPr>
          <w:rFonts w:ascii="Times New Roman" w:hAnsi="Times New Roman" w:cs="Times New Roman"/>
          <w:sz w:val="28"/>
          <w:szCs w:val="28"/>
        </w:rPr>
        <w:t xml:space="preserve"> значно більші. До захворювань, які в значні мірі впливають</w:t>
      </w:r>
      <w:r w:rsidR="00466649" w:rsidRPr="00E14C59">
        <w:rPr>
          <w:rFonts w:ascii="Times New Roman" w:hAnsi="Times New Roman" w:cs="Times New Roman"/>
          <w:sz w:val="28"/>
          <w:szCs w:val="28"/>
        </w:rPr>
        <w:t xml:space="preserve"> на розвиток та перебіг </w:t>
      </w:r>
      <w:proofErr w:type="spellStart"/>
      <w:r w:rsidR="00466649" w:rsidRPr="00E14C59">
        <w:rPr>
          <w:rFonts w:ascii="Times New Roman" w:hAnsi="Times New Roman" w:cs="Times New Roman"/>
          <w:sz w:val="28"/>
          <w:szCs w:val="28"/>
        </w:rPr>
        <w:t>пародон</w:t>
      </w:r>
      <w:r w:rsidR="006232F4" w:rsidRPr="00E14C59">
        <w:rPr>
          <w:rFonts w:ascii="Times New Roman" w:hAnsi="Times New Roman" w:cs="Times New Roman"/>
          <w:sz w:val="28"/>
          <w:szCs w:val="28"/>
        </w:rPr>
        <w:t>титу</w:t>
      </w:r>
      <w:proofErr w:type="spellEnd"/>
      <w:r w:rsidR="006232F4" w:rsidRPr="00E14C59">
        <w:rPr>
          <w:rFonts w:ascii="Times New Roman" w:hAnsi="Times New Roman" w:cs="Times New Roman"/>
          <w:sz w:val="28"/>
          <w:szCs w:val="28"/>
        </w:rPr>
        <w:t>, відносять і ожиріння [</w:t>
      </w:r>
      <w:r w:rsidR="00C41D4F">
        <w:rPr>
          <w:rFonts w:ascii="Times New Roman" w:hAnsi="Times New Roman" w:cs="Times New Roman"/>
          <w:sz w:val="28"/>
          <w:szCs w:val="28"/>
        </w:rPr>
        <w:t>17</w:t>
      </w:r>
      <w:r w:rsidR="006232F4" w:rsidRPr="00E14C59">
        <w:rPr>
          <w:rFonts w:ascii="Times New Roman" w:hAnsi="Times New Roman" w:cs="Times New Roman"/>
          <w:sz w:val="28"/>
          <w:szCs w:val="28"/>
        </w:rPr>
        <w:t>]</w:t>
      </w:r>
    </w:p>
    <w:p w:rsidR="000A1F59" w:rsidRPr="00E14C59" w:rsidRDefault="000A1F59" w:rsidP="003E33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Виникнення захворювань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дітей та підлітків до останнього часу пов’язують переважно із загальною патологією організму, адже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загальносоматичні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захворювання проходять на фоні гуморальної та клітинної недостатності, а також на фоні змін обмінних процесів в організмі, що в свою чергу спричинює погіршення стану тканин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41D4F" w:rsidRP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0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D4F" w:rsidRP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Вивчення змін в організмі, які розвиваються при соматичних захворюваннях, свідчать, що одні з перших проявів цих патологій визначаються в органах та системах порожнини рота, що пояснюється наявністю тісних ембріональних та функціональних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нервовою, кровотворною, ендокринною системою та органами ШКТ [</w:t>
      </w:r>
      <w:r w:rsidR="00C230F1">
        <w:rPr>
          <w:rFonts w:ascii="Times New Roman" w:eastAsia="Times New Roman" w:hAnsi="Times New Roman" w:cs="Times New Roman"/>
          <w:sz w:val="28"/>
          <w:szCs w:val="28"/>
          <w:lang w:eastAsia="ru-RU"/>
        </w:rPr>
        <w:t>3,4,</w:t>
      </w:r>
      <w:r w:rsidR="00C41D4F" w:rsidRP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C230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0A1F59" w:rsidRPr="00E14C59" w:rsidRDefault="000A1F59" w:rsidP="003E33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літературі з’явилися роботи, які вказують на вплив ожиріння та надмірної маси тіла у дітей та підлітків на захворювання тканин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5,10,11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Відомо, що у підлітковому періоді розвивається низка дефіцитних станів в організмі, тобто виникають умови для формування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інфекційно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-запальних патологічних процесів, у тому числі і в тканинах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C230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D4F" w:rsidRPr="00C41D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,14</w:t>
      </w:r>
      <w:r w:rsidR="00C41D4F" w:rsidRPr="00C41D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,15</w:t>
      </w:r>
      <w:bookmarkStart w:id="0" w:name="_GoBack"/>
      <w:bookmarkEnd w:id="0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0A1F59" w:rsidRPr="00E14C59" w:rsidRDefault="000A1F59" w:rsidP="003E33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Вітчизняні та зарубіжні педіатри відзначають, що з кожним роком надмірна маса тіла та ожиріння серед дітей та підлітків зростає приблизно на 1 % [</w:t>
      </w:r>
      <w:r w:rsidR="00C41D4F">
        <w:rPr>
          <w:rFonts w:ascii="Times New Roman" w:eastAsia="Times New Roman" w:hAnsi="Times New Roman" w:cs="Times New Roman"/>
          <w:sz w:val="28"/>
          <w:szCs w:val="28"/>
          <w:lang w:eastAsia="ru-RU"/>
        </w:rPr>
        <w:t>1,16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0A1F59" w:rsidRPr="00E14C59" w:rsidRDefault="000A1F59" w:rsidP="003E33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зв’язку з цим, в теперішньому дослідженні нами було визнано за доцільне з’ясувати наявність взаємозв’язку клінічних проявів захворювань тканин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антропометричними показниками, що описують наявність надмірної маси тіла. На наш погляд, подібного роду спостереження</w:t>
      </w:r>
      <w:r w:rsidR="00112019"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дозволять </w:t>
      </w:r>
      <w:r w:rsidR="00112019"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створити коректний підхід у лікуванні та профілактиці захворювань тканини </w:t>
      </w:r>
      <w:proofErr w:type="spellStart"/>
      <w:r w:rsidR="00112019"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="00112019"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контингенту хворих, що вивчається.</w:t>
      </w:r>
    </w:p>
    <w:p w:rsidR="00112019" w:rsidRPr="00E14C59" w:rsidRDefault="00112019" w:rsidP="003E33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дослідження. </w:t>
      </w:r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Дослідити особливості перебігу захворювань тканини </w:t>
      </w:r>
      <w:proofErr w:type="spellStart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пародонта</w:t>
      </w:r>
      <w:proofErr w:type="spellEnd"/>
      <w:r w:rsidRPr="00E1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клінічними показниками у осіб з аліментарно-конституційним ожирінням.</w:t>
      </w:r>
    </w:p>
    <w:p w:rsidR="00FF6305" w:rsidRPr="00E14C59" w:rsidRDefault="00112019" w:rsidP="003E33B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14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 і методи дослідження:</w:t>
      </w:r>
      <w:r w:rsidR="00FF6305" w:rsidRPr="00E14C59">
        <w:rPr>
          <w:rFonts w:ascii="Times New Roman" w:hAnsi="Times New Roman" w:cs="Times New Roman"/>
          <w:sz w:val="28"/>
          <w:szCs w:val="28"/>
        </w:rPr>
        <w:t xml:space="preserve"> У результаті проведеного обстеження 95 підлітків віком 16-18 років було включено </w:t>
      </w:r>
      <w:r w:rsidR="00FF6305"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вивчення особливостей перебігу запальних захворювань тканин </w:t>
      </w:r>
      <w:proofErr w:type="spellStart"/>
      <w:r w:rsidR="00FF6305"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пародонта</w:t>
      </w:r>
      <w:proofErr w:type="spellEnd"/>
      <w:r w:rsidR="00FF6305" w:rsidRPr="00E14C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 підлітків з АКО 76 підлітків та 19 підлітків з гармонійним фізичним розвитком.</w:t>
      </w:r>
    </w:p>
    <w:p w:rsidR="00112019" w:rsidRPr="00E14C59" w:rsidRDefault="00FF6305" w:rsidP="003E3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>Для уточнення діагнозу «</w:t>
      </w:r>
      <w:r w:rsidR="00A01396" w:rsidRPr="00E14C59">
        <w:rPr>
          <w:rFonts w:ascii="Times New Roman" w:hAnsi="Times New Roman" w:cs="Times New Roman"/>
          <w:sz w:val="28"/>
          <w:szCs w:val="28"/>
        </w:rPr>
        <w:t>надмірно маса тіла</w:t>
      </w:r>
      <w:r w:rsidRPr="00E14C59">
        <w:rPr>
          <w:rFonts w:ascii="Times New Roman" w:hAnsi="Times New Roman" w:cs="Times New Roman"/>
          <w:sz w:val="28"/>
          <w:szCs w:val="28"/>
        </w:rPr>
        <w:t>» визначали вагу та ріст пацієнта, а також вимірювали окружність талії та стегон. Надалі</w:t>
      </w:r>
      <w:r w:rsidR="00A01396" w:rsidRPr="00E14C59">
        <w:rPr>
          <w:rFonts w:ascii="Times New Roman" w:hAnsi="Times New Roman" w:cs="Times New Roman"/>
          <w:sz w:val="28"/>
          <w:szCs w:val="28"/>
        </w:rPr>
        <w:t xml:space="preserve"> розрахували індекс маси тіла (ІМТ), як співвідношення  маси тіла в кг до квадрату величини росту в м</w:t>
      </w:r>
      <w:r w:rsidR="00A01396" w:rsidRPr="00E14C5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A01396" w:rsidRPr="00E14C59">
        <w:rPr>
          <w:rFonts w:ascii="Times New Roman" w:hAnsi="Times New Roman" w:cs="Times New Roman"/>
          <w:sz w:val="28"/>
          <w:szCs w:val="28"/>
        </w:rPr>
        <w:t>. Діагноз надмірна маса тіла підтверджували при ІМТ менше 30 кг/м</w:t>
      </w:r>
      <w:r w:rsidR="00A01396" w:rsidRPr="00E14C5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01396" w:rsidRPr="00E14C59">
        <w:rPr>
          <w:rFonts w:ascii="Times New Roman" w:hAnsi="Times New Roman" w:cs="Times New Roman"/>
          <w:sz w:val="28"/>
          <w:szCs w:val="28"/>
        </w:rPr>
        <w:t>.</w:t>
      </w:r>
    </w:p>
    <w:p w:rsidR="00E14C59" w:rsidRPr="00E14C59" w:rsidRDefault="00A01396" w:rsidP="003E3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C59">
        <w:rPr>
          <w:rFonts w:ascii="Times New Roman" w:hAnsi="Times New Roman" w:cs="Times New Roman"/>
          <w:sz w:val="28"/>
          <w:szCs w:val="28"/>
        </w:rPr>
        <w:t xml:space="preserve">Оцінку стану тканин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здійснювали за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єктивними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і об</w:t>
      </w:r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єктивними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критеріями (клінічні показники, індексна оцінка). Для верифікації патологічного процесу в пародонті використовували класифікацію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М.Ф.Данилевського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(1994). Стан тканин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описували за допомогою традиційної індексної оцінки </w:t>
      </w:r>
      <w:r w:rsidRPr="00E14C5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B341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14C5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14C59" w:rsidRPr="00E14C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59" w:rsidRPr="00E14C59" w:rsidRDefault="00E14C59" w:rsidP="003E33B3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 xml:space="preserve">Статистичну обробку результатів проводили з використанням загальноприйнятих методів варіаційної статистики за допомогою персонального 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ютера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з використанням пакету статистичних програм </w:t>
      </w:r>
    </w:p>
    <w:p w:rsidR="00E14C59" w:rsidRPr="00E14C59" w:rsidRDefault="00E14C59" w:rsidP="003E33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5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14C59">
        <w:rPr>
          <w:rFonts w:ascii="Times New Roman" w:hAnsi="Times New Roman" w:cs="Times New Roman"/>
          <w:sz w:val="28"/>
          <w:szCs w:val="28"/>
          <w:lang w:val="en-US"/>
        </w:rPr>
        <w:t>Statistica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8,0” (‘”</w:t>
      </w:r>
      <w:proofErr w:type="spellStart"/>
      <w:r w:rsidRPr="00E14C59">
        <w:rPr>
          <w:rFonts w:ascii="Times New Roman" w:hAnsi="Times New Roman" w:cs="Times New Roman"/>
          <w:sz w:val="28"/>
          <w:szCs w:val="28"/>
          <w:lang w:val="en-US"/>
        </w:rPr>
        <w:t>Statsoft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”, США). Рівень вірогідності оцінювали на рівні 95 % (р&lt;0,05) з використанням </w:t>
      </w:r>
      <w:r w:rsidRPr="00E14C5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4C59">
        <w:rPr>
          <w:rFonts w:ascii="Times New Roman" w:hAnsi="Times New Roman" w:cs="Times New Roman"/>
          <w:sz w:val="28"/>
          <w:szCs w:val="28"/>
        </w:rPr>
        <w:t xml:space="preserve"> критерію </w:t>
      </w:r>
      <w:proofErr w:type="spellStart"/>
      <w:r w:rsidRPr="00E14C59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r w:rsidRPr="00E14C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14C59">
        <w:rPr>
          <w:rFonts w:ascii="Times New Roman" w:hAnsi="Times New Roman" w:cs="Times New Roman"/>
          <w:sz w:val="28"/>
          <w:szCs w:val="28"/>
        </w:rPr>
        <w:t>юдента</w:t>
      </w:r>
      <w:proofErr w:type="spellEnd"/>
      <w:r w:rsidRPr="00E14C59">
        <w:rPr>
          <w:rFonts w:ascii="Times New Roman" w:hAnsi="Times New Roman" w:cs="Times New Roman"/>
          <w:sz w:val="28"/>
          <w:szCs w:val="28"/>
        </w:rPr>
        <w:t xml:space="preserve"> </w:t>
      </w:r>
      <w:r w:rsidRPr="003E33B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E14C59">
        <w:rPr>
          <w:rFonts w:ascii="Times New Roman" w:hAnsi="Times New Roman" w:cs="Times New Roman"/>
          <w:sz w:val="28"/>
          <w:szCs w:val="28"/>
        </w:rPr>
        <w:t>Реброва О.Ю., 2002 р.</w:t>
      </w:r>
      <w:r w:rsidRPr="003E33B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14C59">
        <w:rPr>
          <w:rFonts w:ascii="Times New Roman" w:hAnsi="Times New Roman" w:cs="Times New Roman"/>
          <w:sz w:val="28"/>
          <w:szCs w:val="28"/>
        </w:rPr>
        <w:t>.</w:t>
      </w: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4C59">
        <w:rPr>
          <w:rFonts w:ascii="Times New Roman" w:hAnsi="Times New Roman" w:cs="Times New Roman"/>
          <w:b/>
          <w:sz w:val="28"/>
          <w:szCs w:val="28"/>
        </w:rPr>
        <w:t>Результати досліджень</w:t>
      </w:r>
      <w:r w:rsidRPr="00E14C5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14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4467" w:rsidRPr="003E33B3" w:rsidRDefault="00354467" w:rsidP="003E33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У результаті проведеного анкетування та обстеження 95 підлітків віком 16-18 років було встановлено наступне. За даними антропометричного дослідження у 19 підлітків (20 %) виявлено надмірну масу тіла, а ожиріння I ступеня констатовано у 53 (55,8 %), ожиріння II ступеня – відповідно у 23 (24,2 %), що підтверджувалося визначенням ІМТ (табл. </w:t>
      </w:r>
      <w:r w:rsidR="0054199D" w:rsidRPr="00E14C59">
        <w:rPr>
          <w:rFonts w:ascii="Times New Roman" w:eastAsia="Calibri" w:hAnsi="Times New Roman" w:cs="Times New Roman"/>
          <w:sz w:val="28"/>
          <w:szCs w:val="28"/>
        </w:rPr>
        <w:t>1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.1), і збігалося з результатами анкетування щодо нераціонального харчування і малорухливого способу життя </w:t>
      </w:r>
      <w:r w:rsidR="0054199D" w:rsidRPr="00E14C59">
        <w:rPr>
          <w:rFonts w:ascii="Times New Roman" w:eastAsia="Calibri" w:hAnsi="Times New Roman" w:cs="Times New Roman"/>
          <w:sz w:val="28"/>
          <w:szCs w:val="28"/>
        </w:rPr>
        <w:t>Так, 51,2 % респондентів харчу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валися у закладах швидкого харчування, </w:t>
      </w:r>
      <w:r w:rsidRPr="00E14C59">
        <w:rPr>
          <w:rFonts w:ascii="Times New Roman" w:eastAsia="Calibri" w:hAnsi="Times New Roman" w:cs="Times New Roman"/>
          <w:sz w:val="28"/>
          <w:szCs w:val="28"/>
        </w:rPr>
        <w:lastRenderedPageBreak/>
        <w:t>систематично вживали солодкі газовані та енергетичні напої, вели малорухливий спосіб життя. Анкетування показало, що 17,3 % із числа опитаних дівчат та 22,4 % хлопців періодично вживали слабоалкогольні напої.</w:t>
      </w:r>
    </w:p>
    <w:p w:rsidR="00354467" w:rsidRPr="00E14C59" w:rsidRDefault="0054199D" w:rsidP="003E33B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E14C59">
        <w:rPr>
          <w:rFonts w:ascii="Times New Roman" w:eastAsia="Calibri" w:hAnsi="Times New Roman" w:cs="Times New Roman"/>
          <w:i/>
          <w:sz w:val="28"/>
          <w:szCs w:val="28"/>
        </w:rPr>
        <w:t>Таблиця 1</w:t>
      </w:r>
      <w:r w:rsidR="00354467" w:rsidRPr="00E14C59">
        <w:rPr>
          <w:rFonts w:ascii="Times New Roman" w:eastAsia="Calibri" w:hAnsi="Times New Roman" w:cs="Times New Roman"/>
          <w:i/>
          <w:sz w:val="28"/>
          <w:szCs w:val="28"/>
        </w:rPr>
        <w:t>.1</w:t>
      </w:r>
    </w:p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4C59">
        <w:rPr>
          <w:rFonts w:ascii="Times New Roman" w:eastAsia="Calibri" w:hAnsi="Times New Roman" w:cs="Times New Roman"/>
          <w:b/>
          <w:sz w:val="28"/>
          <w:szCs w:val="28"/>
        </w:rPr>
        <w:t>Показники індексу маси тіла в обстежених підлітків (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M±m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374"/>
      </w:tblGrid>
      <w:tr w:rsidR="00354467" w:rsidRPr="00E14C59" w:rsidTr="00427595">
        <w:tc>
          <w:tcPr>
            <w:tcW w:w="7196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 підлітків</w:t>
            </w:r>
          </w:p>
        </w:tc>
        <w:tc>
          <w:tcPr>
            <w:tcW w:w="2374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Індекс маси тіла</w:t>
            </w:r>
          </w:p>
        </w:tc>
      </w:tr>
      <w:tr w:rsidR="00354467" w:rsidRPr="00E14C59" w:rsidTr="00427595">
        <w:tc>
          <w:tcPr>
            <w:tcW w:w="7196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група (n  = 19)</w:t>
            </w:r>
          </w:p>
        </w:tc>
        <w:tc>
          <w:tcPr>
            <w:tcW w:w="2374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18,50 ± 0,01</w:t>
            </w:r>
          </w:p>
        </w:tc>
      </w:tr>
      <w:tr w:rsidR="00354467" w:rsidRPr="00E14C59" w:rsidTr="00427595">
        <w:tc>
          <w:tcPr>
            <w:tcW w:w="7196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Надмірна маса тіла (n = 19)</w:t>
            </w:r>
          </w:p>
        </w:tc>
        <w:tc>
          <w:tcPr>
            <w:tcW w:w="2374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25,41 ± 0,05</w:t>
            </w:r>
          </w:p>
        </w:tc>
      </w:tr>
      <w:tr w:rsidR="00354467" w:rsidRPr="00E14C59" w:rsidTr="00427595">
        <w:tc>
          <w:tcPr>
            <w:tcW w:w="7196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Аліментарно-конституційне ожиріння I ступеня (n = 53)</w:t>
            </w:r>
          </w:p>
        </w:tc>
        <w:tc>
          <w:tcPr>
            <w:tcW w:w="2374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31,60 ± 0,07</w:t>
            </w:r>
          </w:p>
        </w:tc>
      </w:tr>
      <w:tr w:rsidR="00354467" w:rsidRPr="00E14C59" w:rsidTr="00427595">
        <w:tc>
          <w:tcPr>
            <w:tcW w:w="7196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Аліментарно-конституційне ожиріння II ступеня (n = 23)</w:t>
            </w:r>
          </w:p>
        </w:tc>
        <w:tc>
          <w:tcPr>
            <w:tcW w:w="2374" w:type="dxa"/>
            <w:shd w:val="clear" w:color="auto" w:fill="auto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35,80 ± 0,03</w:t>
            </w:r>
          </w:p>
        </w:tc>
      </w:tr>
    </w:tbl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Нами проведено дослідження з метою встановлення взаємозв’язку між станом тканин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та наявністю аліментарно-конституційного ожиріння в обстежених підлітків шляхом оцінки стану гігієни ротової порожнини.</w:t>
      </w:r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54467" w:rsidRPr="00E14C59" w:rsidRDefault="00354467" w:rsidP="003E33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>Відомо, що цей гігієнічний індекс служить для оцінки гігієни порожнини рота із позицій лише зубного нальоту. Отримані нами результати показали, що серед 19 контрольної групи добрий гігієнічний стан (0,37±0,05;</w:t>
      </w:r>
      <w:r w:rsidRPr="00E14C59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E14C59">
        <w:rPr>
          <w:rFonts w:ascii="Times New Roman" w:eastAsia="Calibri" w:hAnsi="Times New Roman" w:cs="Times New Roman"/>
          <w:sz w:val="28"/>
          <w:szCs w:val="28"/>
        </w:rPr>
        <w:t>&lt;0,05) визначається у 7 або 36,8 % підлітків, задовільний (1,7±0,01;</w:t>
      </w:r>
      <w:r w:rsidRPr="00E14C59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E14C59">
        <w:rPr>
          <w:rFonts w:ascii="Times New Roman" w:eastAsia="Calibri" w:hAnsi="Times New Roman" w:cs="Times New Roman"/>
          <w:sz w:val="28"/>
          <w:szCs w:val="28"/>
        </w:rPr>
        <w:t>&lt;0,05) та незадовільний (2,7±0,01;</w:t>
      </w:r>
      <w:r w:rsidRPr="00E14C59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E14C59">
        <w:rPr>
          <w:rFonts w:ascii="Times New Roman" w:eastAsia="Calibri" w:hAnsi="Times New Roman" w:cs="Times New Roman"/>
          <w:sz w:val="28"/>
          <w:szCs w:val="28"/>
        </w:rPr>
        <w:t>&lt;0,05) відповідно у 7 (36,8 %) і 5 (26,4 %), проте у цій групі  не було виявлено підлітків з високими показниками індексу Федорова-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Володкіної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>, що відповідає поганому стану гігієни  порожнини рота. Як видно із наведених даних, у підлітків з аліментарно-конституційним ожирінням переважно визначали незадовільний та поганий стан гігієни порожнин рота, на що вказують значенням індексу Федорова-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Володкіної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відповідно у (2,36±0,017</w:t>
      </w:r>
      <w:r w:rsidRPr="00E14C5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E14C59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E14C59">
        <w:rPr>
          <w:rFonts w:ascii="Times New Roman" w:eastAsia="Calibri" w:hAnsi="Times New Roman" w:cs="Times New Roman"/>
          <w:sz w:val="28"/>
          <w:szCs w:val="28"/>
        </w:rPr>
        <w:t>&lt;0,05) і (2,7±0,01</w:t>
      </w:r>
      <w:r w:rsidRPr="00E14C5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E14C59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&lt;0,05) бали. </w:t>
      </w:r>
    </w:p>
    <w:p w:rsidR="00354467" w:rsidRPr="00E14C59" w:rsidRDefault="00354467" w:rsidP="003E33B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Нами проведено визначення індексу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Green-Vermillion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(ІGV), що дозволяє оцінити не лише зубний наліт, але й зубний камінь. Результати досліджень представлено у таблиці </w:t>
      </w:r>
      <w:r w:rsidR="0054199D" w:rsidRPr="003E33B3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E14C59">
        <w:rPr>
          <w:rFonts w:ascii="Times New Roman" w:eastAsia="Calibri" w:hAnsi="Times New Roman" w:cs="Times New Roman"/>
          <w:sz w:val="28"/>
          <w:szCs w:val="28"/>
        </w:rPr>
        <w:t>.2.</w:t>
      </w:r>
    </w:p>
    <w:p w:rsidR="00354467" w:rsidRPr="00E14C59" w:rsidRDefault="00354467" w:rsidP="003E33B3">
      <w:pPr>
        <w:spacing w:after="0" w:line="360" w:lineRule="auto"/>
        <w:ind w:firstLine="72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14C59">
        <w:rPr>
          <w:rFonts w:ascii="Times New Roman" w:eastAsia="Calibri" w:hAnsi="Times New Roman" w:cs="Times New Roman"/>
          <w:i/>
          <w:sz w:val="28"/>
          <w:szCs w:val="28"/>
        </w:rPr>
        <w:t xml:space="preserve">Таблиця </w:t>
      </w:r>
      <w:r w:rsidR="0054199D" w:rsidRPr="003E33B3">
        <w:rPr>
          <w:rFonts w:ascii="Times New Roman" w:eastAsia="Calibri" w:hAnsi="Times New Roman" w:cs="Times New Roman"/>
          <w:i/>
          <w:sz w:val="28"/>
          <w:szCs w:val="28"/>
          <w:lang w:val="ru-RU"/>
        </w:rPr>
        <w:t>1</w:t>
      </w:r>
      <w:r w:rsidRPr="00E14C59">
        <w:rPr>
          <w:rFonts w:ascii="Times New Roman" w:eastAsia="Calibri" w:hAnsi="Times New Roman" w:cs="Times New Roman"/>
          <w:i/>
          <w:sz w:val="28"/>
          <w:szCs w:val="28"/>
        </w:rPr>
        <w:t>.2</w:t>
      </w:r>
    </w:p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Стан гігієни порожнини рота за індексом 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Green-Vermillion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 у підлітків з аліментарно-конституційним ожирінням (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M±m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1701"/>
        <w:gridCol w:w="1665"/>
      </w:tblGrid>
      <w:tr w:rsidR="00354467" w:rsidRPr="00E14C59" w:rsidTr="00427595">
        <w:tc>
          <w:tcPr>
            <w:tcW w:w="4361" w:type="dxa"/>
            <w:vMerge w:val="restart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Категорія дітей</w:t>
            </w:r>
          </w:p>
        </w:tc>
        <w:tc>
          <w:tcPr>
            <w:tcW w:w="5209" w:type="dxa"/>
            <w:gridSpan w:val="3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Показник </w:t>
            </w:r>
            <w:proofErr w:type="spellStart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індекса</w:t>
            </w:r>
            <w:proofErr w:type="spellEnd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Green-Vermillion</w:t>
            </w:r>
            <w:proofErr w:type="spellEnd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, бали</w:t>
            </w:r>
          </w:p>
        </w:tc>
      </w:tr>
      <w:tr w:rsidR="00354467" w:rsidRPr="00E14C59" w:rsidTr="00427595">
        <w:tc>
          <w:tcPr>
            <w:tcW w:w="4361" w:type="dxa"/>
            <w:vMerge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Добрий</w:t>
            </w:r>
          </w:p>
        </w:tc>
        <w:tc>
          <w:tcPr>
            <w:tcW w:w="1701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66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Поганий</w:t>
            </w:r>
          </w:p>
        </w:tc>
      </w:tr>
      <w:tr w:rsidR="00354467" w:rsidRPr="00E14C59" w:rsidTr="00427595">
        <w:trPr>
          <w:trHeight w:val="452"/>
        </w:trPr>
        <w:tc>
          <w:tcPr>
            <w:tcW w:w="4361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Здорові підлітки (n </w:t>
            </w: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19)</w:t>
            </w:r>
          </w:p>
        </w:tc>
        <w:tc>
          <w:tcPr>
            <w:tcW w:w="1843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0,14±0,02</w:t>
            </w:r>
          </w:p>
        </w:tc>
        <w:tc>
          <w:tcPr>
            <w:tcW w:w="1701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0,38±0,05</w:t>
            </w:r>
          </w:p>
        </w:tc>
        <w:tc>
          <w:tcPr>
            <w:tcW w:w="166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0,60±0,01</w:t>
            </w:r>
          </w:p>
        </w:tc>
      </w:tr>
      <w:tr w:rsidR="00354467" w:rsidRPr="00E14C59" w:rsidTr="00427595">
        <w:trPr>
          <w:trHeight w:val="846"/>
        </w:trPr>
        <w:tc>
          <w:tcPr>
            <w:tcW w:w="4361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Підлітки з аліментарно-консти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цій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ним ожирінням (n </w:t>
            </w: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76)</w:t>
            </w:r>
          </w:p>
        </w:tc>
        <w:tc>
          <w:tcPr>
            <w:tcW w:w="1843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01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1,24±0,01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sym w:font="Symbol" w:char="F02A"/>
            </w:r>
          </w:p>
        </w:tc>
        <w:tc>
          <w:tcPr>
            <w:tcW w:w="166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2,1±0,02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sym w:font="Symbol" w:char="F02A"/>
            </w:r>
          </w:p>
        </w:tc>
      </w:tr>
    </w:tbl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>Примітка. * – по відношенню до показника у групі здорових підлітків (р&lt;0,05).</w:t>
      </w: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Виявлені зміни індексу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Green-Vermillion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відповідають змінам індексу Федорова-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Володкіної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. Серед контрольної групи добрий стан гігієни порожнини рота за індексом ІGV спостерігався у 7 пацієнтів або 36,8 %, середній і поганий відповідно у 8 (42,1 %) і у 4 (21,1 %). При цьому індекс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Green-Vermillion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у підлітків з поганим станом порожнини рота зріс у 4,3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раза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порівняно з підлітками з доброю гігієною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порожини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рота. Водночас у підлітків на тлі АКО за індексом ІGV встановлено середній та поганий стан гігієни рота відповідно у 51 (67,1 %) і 25 (32,9 %) осіб. Слід зазначити, що цей показник на тлі АКО вірогідно зріс порівняно з контрольною групою (здорові підлітки) при середньому стані гігієни рота у 3,26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раза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, а при поганому – у 3,5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раза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>, що вказує на суттєвий вплив аліментарно-конституційного ожиріння на погіршення стану гігієни порожнини рота за відповідним індексом.</w:t>
      </w:r>
    </w:p>
    <w:p w:rsidR="00354467" w:rsidRPr="00E14C59" w:rsidRDefault="00354467" w:rsidP="003E33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Для характеристики ступеня запального процесу ясен вивчали індекс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Silness-Loe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(ISL), результати дослідження наведені у таблиці </w:t>
      </w:r>
      <w:r w:rsidR="0054199D" w:rsidRPr="00E14C59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E14C59">
        <w:rPr>
          <w:rFonts w:ascii="Times New Roman" w:eastAsia="Calibri" w:hAnsi="Times New Roman" w:cs="Times New Roman"/>
          <w:sz w:val="28"/>
          <w:szCs w:val="28"/>
        </w:rPr>
        <w:t>.3.</w:t>
      </w:r>
    </w:p>
    <w:p w:rsidR="0031739C" w:rsidRDefault="0031739C" w:rsidP="003E33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54467" w:rsidRPr="00E14C59" w:rsidRDefault="00354467" w:rsidP="0031739C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14C59">
        <w:rPr>
          <w:rFonts w:ascii="Times New Roman" w:eastAsia="Calibri" w:hAnsi="Times New Roman" w:cs="Times New Roman"/>
          <w:i/>
          <w:sz w:val="28"/>
          <w:szCs w:val="28"/>
        </w:rPr>
        <w:t xml:space="preserve">Таблиця </w:t>
      </w:r>
      <w:r w:rsidR="0054199D" w:rsidRPr="003E33B3">
        <w:rPr>
          <w:rFonts w:ascii="Times New Roman" w:eastAsia="Calibri" w:hAnsi="Times New Roman" w:cs="Times New Roman"/>
          <w:i/>
          <w:sz w:val="28"/>
          <w:szCs w:val="28"/>
          <w:lang w:val="ru-RU"/>
        </w:rPr>
        <w:t>1</w:t>
      </w:r>
      <w:r w:rsidRPr="00E14C59">
        <w:rPr>
          <w:rFonts w:ascii="Times New Roman" w:eastAsia="Calibri" w:hAnsi="Times New Roman" w:cs="Times New Roman"/>
          <w:i/>
          <w:sz w:val="28"/>
          <w:szCs w:val="28"/>
        </w:rPr>
        <w:t>.3</w:t>
      </w:r>
    </w:p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Стан запального процесу у обстежених 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підліткв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 за індексом 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Sillness-Loe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E14C59">
        <w:rPr>
          <w:rFonts w:ascii="Times New Roman" w:eastAsia="Calibri" w:hAnsi="Times New Roman" w:cs="Times New Roman"/>
          <w:b/>
          <w:sz w:val="28"/>
          <w:szCs w:val="28"/>
        </w:rPr>
        <w:t>M±m</w:t>
      </w:r>
      <w:proofErr w:type="spellEnd"/>
      <w:r w:rsidRPr="00E14C5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985"/>
        <w:gridCol w:w="2260"/>
        <w:gridCol w:w="2240"/>
      </w:tblGrid>
      <w:tr w:rsidR="00354467" w:rsidRPr="00E14C59" w:rsidTr="00427595">
        <w:trPr>
          <w:trHeight w:val="668"/>
        </w:trPr>
        <w:tc>
          <w:tcPr>
            <w:tcW w:w="30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Категорія підлітків</w:t>
            </w:r>
          </w:p>
        </w:tc>
        <w:tc>
          <w:tcPr>
            <w:tcW w:w="6485" w:type="dxa"/>
            <w:gridSpan w:val="3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Показник </w:t>
            </w:r>
            <w:proofErr w:type="spellStart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індекса</w:t>
            </w:r>
            <w:proofErr w:type="spellEnd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Sillness-Loe</w:t>
            </w:r>
            <w:proofErr w:type="spellEnd"/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, бали</w:t>
            </w:r>
          </w:p>
        </w:tc>
      </w:tr>
      <w:tr w:rsidR="00354467" w:rsidRPr="00E14C59" w:rsidTr="00427595">
        <w:trPr>
          <w:trHeight w:val="854"/>
        </w:trPr>
        <w:tc>
          <w:tcPr>
            <w:tcW w:w="30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Легкий гінгівіт</w:t>
            </w:r>
          </w:p>
        </w:tc>
        <w:tc>
          <w:tcPr>
            <w:tcW w:w="226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 важкості гінгівіт</w:t>
            </w:r>
          </w:p>
        </w:tc>
        <w:tc>
          <w:tcPr>
            <w:tcW w:w="224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Важкий ступінь гінгівіт</w:t>
            </w:r>
          </w:p>
        </w:tc>
      </w:tr>
      <w:tr w:rsidR="00354467" w:rsidRPr="00E14C59" w:rsidTr="00427595">
        <w:trPr>
          <w:trHeight w:val="444"/>
        </w:trPr>
        <w:tc>
          <w:tcPr>
            <w:tcW w:w="30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Здорові підлітки </w:t>
            </w: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(n </w:t>
            </w: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19)</w:t>
            </w:r>
          </w:p>
        </w:tc>
        <w:tc>
          <w:tcPr>
            <w:tcW w:w="19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0,14±0,08</w:t>
            </w:r>
          </w:p>
        </w:tc>
        <w:tc>
          <w:tcPr>
            <w:tcW w:w="226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0,55±0,08</w:t>
            </w:r>
          </w:p>
        </w:tc>
        <w:tc>
          <w:tcPr>
            <w:tcW w:w="224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0,76±0,01</w:t>
            </w:r>
          </w:p>
        </w:tc>
      </w:tr>
      <w:tr w:rsidR="00354467" w:rsidRPr="00E14C59" w:rsidTr="00427595">
        <w:trPr>
          <w:trHeight w:val="1323"/>
        </w:trPr>
        <w:tc>
          <w:tcPr>
            <w:tcW w:w="30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Підлітки з аліментарно-конституційним ожирінням (n </w:t>
            </w:r>
            <w:r w:rsidRPr="00E14C59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76)</w:t>
            </w:r>
          </w:p>
        </w:tc>
        <w:tc>
          <w:tcPr>
            <w:tcW w:w="1985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0,56±0,05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sym w:font="Symbol" w:char="F02A"/>
            </w:r>
          </w:p>
        </w:tc>
        <w:tc>
          <w:tcPr>
            <w:tcW w:w="226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1,67±0,01</w:t>
            </w:r>
            <w:r w:rsidRPr="00E14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sym w:font="Symbol" w:char="F02A"/>
            </w:r>
          </w:p>
        </w:tc>
        <w:tc>
          <w:tcPr>
            <w:tcW w:w="2240" w:type="dxa"/>
          </w:tcPr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467" w:rsidRPr="00E14C59" w:rsidRDefault="00354467" w:rsidP="003E33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59">
              <w:rPr>
                <w:rFonts w:ascii="Times New Roman" w:eastAsia="Calibri" w:hAnsi="Times New Roman" w:cs="Times New Roman"/>
                <w:sz w:val="28"/>
                <w:szCs w:val="28"/>
              </w:rPr>
              <w:t>2,42±0,09</w:t>
            </w:r>
          </w:p>
        </w:tc>
      </w:tr>
    </w:tbl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>Примітка. * – по відношенню до показника у групі здорових дітей (р&lt;0,05).</w:t>
      </w:r>
    </w:p>
    <w:p w:rsidR="00354467" w:rsidRPr="00E14C59" w:rsidRDefault="00354467" w:rsidP="003E33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У підлітків контрольної групи встановлено наявність гінгівіту різного ступеня важкості. Так, легкий ступінь гінгівіту виявлено у 7 або 36,8 %, середній – 8 (42,1 %) і важкий – у 4 (21,1 %). Ці дані підтверджуються зростанням ISL у підлітків із середньою важкістю гінгівіту в 3,93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раза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порівняно з пацієнтами з легким ступенем гінгівіту, а у пацієнтів із важким ступенем гінгівіту – у 5, 43 рази. Нами встановлено, що у підлітків з АКО легкий ступінь гінгівіту спостерігався у 23 або 30,3 %, середньої важкості – у 40 (52,6 %) і важкий ступінь гінгівіту – у 13 (17,1 %). При цьому у підлітків на тлі АКО показник ISL був у 4 рази більший порівняно з контрольною  групою (p&lt;0,05), відповідно у 3 рази вищим він був (p&lt;0,001) при середньому ступені важкості, а при важкому гінгівіті у 3,2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раза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перевищував відповідний показник у здорових підлітків. Ці дані вказують на те, що наявність аліментарно-конституційного ожиріння у підлітків сприяє більш вираженому розвитку запального процесу у тканинах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>, що проявляється важчими ступенями тяжкості гінгівіту.</w:t>
      </w: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ВООЗ при епідеміологічних обстеженнях захворювань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рекомендує використовувати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пародонтальний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індекс CPITN (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Community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Periodontal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Index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Treatment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Needs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Pr="00E14C59">
        <w:rPr>
          <w:rFonts w:ascii="Times New Roman" w:eastAsia="Calibri" w:hAnsi="Times New Roman" w:cs="Times New Roman"/>
          <w:bCs/>
          <w:sz w:val="28"/>
          <w:szCs w:val="28"/>
        </w:rPr>
        <w:t xml:space="preserve">індекс потреби в лікуванні захворювань </w:t>
      </w:r>
      <w:proofErr w:type="spellStart"/>
      <w:r w:rsidRPr="00E14C59">
        <w:rPr>
          <w:rFonts w:ascii="Times New Roman" w:eastAsia="Calibri" w:hAnsi="Times New Roman" w:cs="Times New Roman"/>
          <w:bCs/>
          <w:sz w:val="28"/>
          <w:szCs w:val="28"/>
        </w:rPr>
        <w:t>пародонта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. Аналіз результатів, наведених у таблиці 3.4, показав, що у контрольній групі не було виявлено кровоточивості після зондування, зонд не проникав у ясенну кишеню, не було глибоких кишень. Це свідчить про те, що дана категорія пацієнтів не потребує </w:t>
      </w:r>
      <w:proofErr w:type="spellStart"/>
      <w:r w:rsidRPr="00E14C59">
        <w:rPr>
          <w:rFonts w:ascii="Times New Roman" w:eastAsia="Calibri" w:hAnsi="Times New Roman" w:cs="Times New Roman"/>
          <w:sz w:val="28"/>
          <w:szCs w:val="28"/>
        </w:rPr>
        <w:t>фармакотерапевтичного</w:t>
      </w:r>
      <w:proofErr w:type="spellEnd"/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лікування, а їм рекомендується професійна гігієна ротової порожнини.  </w:t>
      </w:r>
    </w:p>
    <w:p w:rsidR="00354467" w:rsidRPr="00E14C59" w:rsidRDefault="00354467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Проте у підлітків з гінгівітом на тлі АКО усі ці ознаки були присутніми, зокрема кровоточивість після зондування у 76 обстежених підлітків на тлі АКО виявлялась у 63,2 %, при зондуванні ясенної кишені зонд занурювався у 31,6 %, а наявність кишені глибиною до </w:t>
      </w:r>
      <w:smartTag w:uri="urn:schemas-microsoft-com:office:smarttags" w:element="metricconverter">
        <w:smartTagPr>
          <w:attr w:name="ProductID" w:val="4 мм"/>
        </w:smartTagPr>
        <w:r w:rsidRPr="00E14C59">
          <w:rPr>
            <w:rFonts w:ascii="Times New Roman" w:eastAsia="Calibri" w:hAnsi="Times New Roman" w:cs="Times New Roman"/>
            <w:sz w:val="28"/>
            <w:szCs w:val="28"/>
          </w:rPr>
          <w:t>4 мм</w:t>
        </w:r>
      </w:smartTag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виявили лише у 5,3 %. Це вказує на </w:t>
      </w:r>
      <w:r w:rsidRPr="00E14C59">
        <w:rPr>
          <w:rFonts w:ascii="Times New Roman" w:eastAsia="Calibri" w:hAnsi="Times New Roman" w:cs="Times New Roman"/>
          <w:sz w:val="28"/>
          <w:szCs w:val="28"/>
        </w:rPr>
        <w:lastRenderedPageBreak/>
        <w:t>необхідність застосування лікувальних середників для покращення перебігу та прогнозу захворювання.</w:t>
      </w:r>
    </w:p>
    <w:p w:rsidR="00354467" w:rsidRPr="00E14C59" w:rsidRDefault="0054199D" w:rsidP="003E3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C59">
        <w:rPr>
          <w:rFonts w:ascii="Times New Roman" w:eastAsia="Calibri" w:hAnsi="Times New Roman" w:cs="Times New Roman"/>
          <w:b/>
          <w:sz w:val="28"/>
          <w:szCs w:val="28"/>
        </w:rPr>
        <w:t>Висновки:</w:t>
      </w:r>
      <w:r w:rsidRPr="00E1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Отже, клінічні показники стану тканин </w:t>
      </w:r>
      <w:proofErr w:type="spellStart"/>
      <w:r w:rsidR="00354467" w:rsidRPr="00E14C59">
        <w:rPr>
          <w:rFonts w:ascii="Times New Roman" w:eastAsia="Calibri" w:hAnsi="Times New Roman" w:cs="Times New Roman"/>
          <w:sz w:val="28"/>
          <w:szCs w:val="28"/>
        </w:rPr>
        <w:t>пародонта</w:t>
      </w:r>
      <w:proofErr w:type="spellEnd"/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 на тлі аліментарно-конституційного ожиріння (індекс Федорова-</w:t>
      </w:r>
      <w:proofErr w:type="spellStart"/>
      <w:r w:rsidR="00354467" w:rsidRPr="00E14C59">
        <w:rPr>
          <w:rFonts w:ascii="Times New Roman" w:eastAsia="Calibri" w:hAnsi="Times New Roman" w:cs="Times New Roman"/>
          <w:sz w:val="28"/>
          <w:szCs w:val="28"/>
        </w:rPr>
        <w:t>Володкіної</w:t>
      </w:r>
      <w:proofErr w:type="spellEnd"/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, індекс </w:t>
      </w:r>
      <w:proofErr w:type="spellStart"/>
      <w:r w:rsidR="00354467" w:rsidRPr="00E14C59">
        <w:rPr>
          <w:rFonts w:ascii="Times New Roman" w:eastAsia="Calibri" w:hAnsi="Times New Roman" w:cs="Times New Roman"/>
          <w:sz w:val="28"/>
          <w:szCs w:val="28"/>
        </w:rPr>
        <w:t>Green-Vermillion</w:t>
      </w:r>
      <w:proofErr w:type="spellEnd"/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, індекс </w:t>
      </w:r>
      <w:proofErr w:type="spellStart"/>
      <w:r w:rsidR="00354467" w:rsidRPr="00E14C59">
        <w:rPr>
          <w:rFonts w:ascii="Times New Roman" w:eastAsia="Calibri" w:hAnsi="Times New Roman" w:cs="Times New Roman"/>
          <w:sz w:val="28"/>
          <w:szCs w:val="28"/>
        </w:rPr>
        <w:t>Sillness-Loe</w:t>
      </w:r>
      <w:proofErr w:type="spellEnd"/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, показник CPITN) значно погіршуються порівняно з відповідними показниками у контрольній групі підлітків без АКО, що вказує на вплив аліментарно-конституційного ожиріння на клінічний перебіг, </w:t>
      </w:r>
      <w:proofErr w:type="spellStart"/>
      <w:r w:rsidR="00354467" w:rsidRPr="00E14C59">
        <w:rPr>
          <w:rFonts w:ascii="Times New Roman" w:eastAsia="Calibri" w:hAnsi="Times New Roman" w:cs="Times New Roman"/>
          <w:sz w:val="28"/>
          <w:szCs w:val="28"/>
        </w:rPr>
        <w:t>вираженість</w:t>
      </w:r>
      <w:proofErr w:type="spellEnd"/>
      <w:r w:rsidR="00354467" w:rsidRPr="00E14C59">
        <w:rPr>
          <w:rFonts w:ascii="Times New Roman" w:eastAsia="Calibri" w:hAnsi="Times New Roman" w:cs="Times New Roman"/>
          <w:sz w:val="28"/>
          <w:szCs w:val="28"/>
        </w:rPr>
        <w:t xml:space="preserve"> та важкість запального процесу і доцільність проведення своєчасної та ефективної фармакотерапії.</w:t>
      </w:r>
    </w:p>
    <w:p w:rsidR="00C230F1" w:rsidRDefault="00C230F1" w:rsidP="003E33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96"/>
        <w:gridCol w:w="4233"/>
      </w:tblGrid>
      <w:tr w:rsidR="008475E6" w:rsidTr="00A85899">
        <w:tc>
          <w:tcPr>
            <w:tcW w:w="5396" w:type="dxa"/>
          </w:tcPr>
          <w:p w:rsidR="008475E6" w:rsidRDefault="008475E6" w:rsidP="00847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літератури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8475E6" w:rsidRDefault="008475E6" w:rsidP="003E33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8475E6" w:rsidRDefault="008475E6" w:rsidP="003E33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References:</w:t>
            </w:r>
          </w:p>
        </w:tc>
      </w:tr>
      <w:tr w:rsidR="008475E6" w:rsidRPr="006F6921" w:rsidTr="00A85899">
        <w:trPr>
          <w:trHeight w:val="699"/>
        </w:trPr>
        <w:tc>
          <w:tcPr>
            <w:tcW w:w="5396" w:type="dxa"/>
          </w:tcPr>
          <w:p w:rsidR="008475E6" w:rsidRPr="006F6921" w:rsidRDefault="008475E6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Аверьянов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П.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Нейровегетативные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ожирением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пубертата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А. П.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Аверьянов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Н. В. 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Педиатрия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Журн.им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Г.Н.Сперанского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2009. – Т. 87, № 3. – С. 47–52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pStyle w:val="HTML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1.Averianov</w:t>
            </w:r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and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Bolotova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N.V.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(2009).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Neirovegetativni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narushenia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ojiireniem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period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pubertata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korekciia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Neurovegetative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disorders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in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children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with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obesity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during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puberty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and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their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correction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Pediatriia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jurnal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imeni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G.N.Speranskii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Journal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G. N.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Sapransky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3, 47-52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in Russian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8475E6" w:rsidRPr="006F6921" w:rsidRDefault="008475E6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Белоклицкая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Ф.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Клинические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генерализованного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пародонтита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его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дифференцированой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терапии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Г. Ф. 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Белоклицкая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Вестник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1998. – № 3. – С. 16–20.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2.Beloklickaia</w:t>
            </w:r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H.F. (1998).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Klinicheskie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generalizirovanoho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parodontita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ix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znachenie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dlia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differenciirovanoi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terapii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[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Clinical forms of generalized periodontitis and their significance for its differentiated therapies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].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Vestnik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stomatologii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-</w:t>
            </w:r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Herald</w:t>
            </w:r>
            <w:proofErr w:type="spellEnd"/>
            <w:r w:rsidRPr="006F692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Dentistry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3, 16-20 [in Russian].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8475E6" w:rsidRPr="006F6921" w:rsidRDefault="008475E6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В.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Функцыональные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пищеварительной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системи у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Монография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Ю. В.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 Ю.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Х. : ИД «ИНЖЭК», 2005. – 256 с.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Belousov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J.V. and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Belousov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O.J. (2005).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Funkcionalnie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zabolevaniia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pishchevaritelnoi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sistemu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 </w:t>
            </w:r>
            <w:proofErr w:type="spellStart"/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Monografiia</w:t>
            </w:r>
            <w:proofErr w:type="spellEnd"/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[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Functional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diseases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digestive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system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children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Monograph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].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Kharkiv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ID “INJEK”</w:t>
            </w:r>
          </w:p>
          <w:p w:rsidR="008475E6" w:rsidRPr="006F6921" w:rsidRDefault="008475E6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[</w:t>
            </w: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Russian].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8475E6" w:rsidRPr="006F6921" w:rsidRDefault="008475E6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Вишняк Г. Н. Пародонтоз у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отягощенный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Г. Н. Вишняк //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научно-практической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стоматологи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возроста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Москва, 1969. – С. 132–135. 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4.Vushniak</w:t>
            </w:r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H.N.  (1969).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Paradontoz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podrostkov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otiohoshchonnui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obshchei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patolohiei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[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Periodontitis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children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adolescents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burdened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general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pathology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] Proceedings from MIM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naukovo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praktichna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konferenciia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voprosam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stomatologii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detskoho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vozrasta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Materials</w:t>
            </w:r>
            <w:proofErr w:type="spellEnd"/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scientific-practical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conference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issues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stomatologists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children's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growth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(pp. 132-135).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Moskva</w:t>
            </w:r>
            <w:proofErr w:type="spellEnd"/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8475E6" w:rsidRPr="006F6921" w:rsidRDefault="008475E6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Вознесенская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Г.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Ожирение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Т. Г.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Вознесенская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мед. журнал. – 2000. – № 1. – С. 90–93.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673E93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Voznesenska</w:t>
            </w:r>
            <w:proofErr w:type="gramEnd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T.H. (2000). </w:t>
            </w:r>
            <w:proofErr w:type="spellStart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Ojirenie</w:t>
            </w:r>
            <w:proofErr w:type="spellEnd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[Obesity]. </w:t>
            </w:r>
            <w:proofErr w:type="spellStart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Mezdunarodnyi</w:t>
            </w:r>
            <w:proofErr w:type="spellEnd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medicinskii</w:t>
            </w:r>
            <w:proofErr w:type="spellEnd"/>
            <w:r w:rsidR="008475E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zyrnal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International medical journal</w:t>
            </w: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,1,90</w:t>
            </w:r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-93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[in Russian].</w:t>
            </w:r>
          </w:p>
        </w:tc>
      </w:tr>
      <w:tr w:rsidR="008475E6" w:rsidRPr="006F6921" w:rsidTr="00A85899">
        <w:tc>
          <w:tcPr>
            <w:tcW w:w="5396" w:type="dxa"/>
          </w:tcPr>
          <w:p w:rsidR="00673E93" w:rsidRPr="006F6921" w:rsidRDefault="00673E93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Гударьян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А. Частота 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генерализованого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пародонтита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компонентах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метаболичного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А. А.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Гударьян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Вісник стоматології. – 2003. – № 1. – C. 20–23.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673E93" w:rsidRPr="006F6921" w:rsidRDefault="00673E93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6.Hudarian</w:t>
            </w:r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(2003).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Chastota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osobennosti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klinicheskoho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generalizovanogo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parodontita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razlichnix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komponentax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metabolicheskoho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syndrome</w:t>
            </w:r>
          </w:p>
          <w:p w:rsidR="008475E6" w:rsidRPr="006F6921" w:rsidRDefault="00673E93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Frequency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features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clinical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manifestation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generalized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periodontitis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various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components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metabolic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syndrome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Visnyk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stomatologii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Herald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Dentistry</w:t>
            </w:r>
            <w:proofErr w:type="gram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</w:t>
            </w:r>
            <w:proofErr w:type="gram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20-23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[in Russian].</w:t>
            </w:r>
          </w:p>
        </w:tc>
      </w:tr>
      <w:tr w:rsidR="008475E6" w:rsidRPr="006F6921" w:rsidTr="00A85899">
        <w:tc>
          <w:tcPr>
            <w:tcW w:w="5396" w:type="dxa"/>
          </w:tcPr>
          <w:p w:rsidR="00673E93" w:rsidRPr="006F6921" w:rsidRDefault="00673E93" w:rsidP="006F692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Данилевский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Ф. Систематика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болезней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пародонта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Н. Ф. 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Данилевский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Вісник стоматології. – 1994. – № 1. – С. 17–21.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673E93" w:rsidP="006F692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uk-UA"/>
              </w:rPr>
            </w:pP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7.Danylev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kii</w:t>
            </w:r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N.F. (1994).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Systematy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boleznei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paradonta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Systematics of periodontal diseases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Visnyk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stomatologii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Herald of Dentistry</w:t>
            </w:r>
            <w:proofErr w:type="gram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</w:t>
            </w:r>
            <w:proofErr w:type="gram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20-23 </w:t>
            </w:r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[in Russian].</w:t>
            </w:r>
          </w:p>
        </w:tc>
      </w:tr>
      <w:tr w:rsidR="00A85899" w:rsidRPr="006F6921" w:rsidTr="00A85899">
        <w:tc>
          <w:tcPr>
            <w:tcW w:w="5396" w:type="dxa"/>
          </w:tcPr>
          <w:p w:rsidR="00A85899" w:rsidRPr="006F6921" w:rsidRDefault="00A85899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 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Данилевський М.Ф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Терапевтична стоматологія. Захворювання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пародонта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Том 3 /Борисенко А.В.,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Політун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А.М. и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.// - К.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Медицина, 2008. – 614 с.</w:t>
            </w:r>
          </w:p>
        </w:tc>
        <w:tc>
          <w:tcPr>
            <w:tcW w:w="4233" w:type="dxa"/>
          </w:tcPr>
          <w:p w:rsidR="00A85899" w:rsidRPr="006F6921" w:rsidRDefault="00A85899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Danylevskii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Borysenko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Polityn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 (2008).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Terapevtychna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stomatologiia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Zaxvoriuvannia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Tom 3</w:t>
            </w: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.[</w:t>
            </w:r>
            <w:proofErr w:type="spellStart"/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Therapeutic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dentistry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Periodontal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disease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Volume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].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Kyiv: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Medycyna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Medicine 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[in Ukrainian].</w:t>
            </w: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A85899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9.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Заболотний Т.Д.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Генералізований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пародонтит /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А.В.Борисенко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А.В.Марков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І.В.Шилівський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ГалДент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, 2011. – 240 с.</w:t>
            </w:r>
          </w:p>
          <w:p w:rsidR="008475E6" w:rsidRPr="006F6921" w:rsidRDefault="008475E6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0A5296" w:rsidRPr="006F6921" w:rsidRDefault="00A85899" w:rsidP="006F692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Zabolotnii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Markov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Shylivkii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(2011). 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Genaralozovanii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parodontyt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Generalized periodontitis]. 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Lviv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: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 </w:t>
            </w:r>
            <w:proofErr w:type="spellStart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HalDent</w:t>
            </w:r>
            <w:proofErr w:type="spellEnd"/>
            <w:r w:rsidR="000A5296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 [in Ukrainian].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  <w:proofErr w:type="spellStart"/>
            <w:r w:rsidR="00BE35E9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Павловская</w:t>
            </w:r>
            <w:proofErr w:type="spellEnd"/>
            <w:r w:rsidR="00BE35E9"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E35E9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В.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Клинические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ожирения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Е. В.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Павловская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 Г. Сурков, Т. В.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Стракова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 И.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Зубакович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ПАГ. – 2009. – Т. 71, № 5. – С. 50–51.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6F6921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Pavlovska</w:t>
            </w:r>
            <w:proofErr w:type="spellEnd"/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Surkov</w:t>
            </w:r>
            <w:proofErr w:type="spellEnd"/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BE35E9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Strakova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Zubakovich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C552C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(2009).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Klinicheskii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proiavleniia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ojireniia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detei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Clinical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manifestations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obesity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552C"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children</w:t>
            </w:r>
            <w:proofErr w:type="spellEnd"/>
            <w:r w:rsidR="001C552C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 PAH 71, 5, 50-51.</w:t>
            </w:r>
          </w:p>
        </w:tc>
      </w:tr>
      <w:tr w:rsidR="008475E6" w:rsidRPr="006F6921" w:rsidTr="00A85899">
        <w:tc>
          <w:tcPr>
            <w:tcW w:w="5396" w:type="dxa"/>
          </w:tcPr>
          <w:p w:rsidR="006F6921" w:rsidRPr="006F6921" w:rsidRDefault="006F6921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Перова М. Д.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пародонта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норма,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восстановления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М. Д. Перова. – М. :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Триада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Лтд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2005. – С. 77–104.</w:t>
            </w:r>
          </w:p>
          <w:p w:rsidR="008475E6" w:rsidRPr="006F6921" w:rsidRDefault="008475E6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6F6921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Perova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(2005).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Tkani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patologiia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vastonovleniia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Periodontal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tissues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norm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pathology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ways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recovery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Moskva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Triada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Ltd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[in Russian].</w:t>
            </w:r>
          </w:p>
        </w:tc>
      </w:tr>
      <w:tr w:rsidR="008475E6" w:rsidRPr="006F6921" w:rsidTr="00A85899">
        <w:tc>
          <w:tcPr>
            <w:tcW w:w="5396" w:type="dxa"/>
          </w:tcPr>
          <w:p w:rsidR="006F6921" w:rsidRPr="006F6921" w:rsidRDefault="006F6921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Н.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пародонтите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Н. П.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Ярынич-Бучинская</w:t>
            </w:r>
            <w:proofErr w:type="spellEnd"/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,</w:t>
            </w:r>
            <w:proofErr w:type="gram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К.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Югов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Л. </w:t>
            </w:r>
            <w:proofErr w:type="spell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Я.Богашова</w:t>
            </w:r>
            <w:proofErr w:type="spellEnd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Український стоматологічний альманах. – 2007. – № 5. – С. 42–45.</w:t>
            </w:r>
          </w:p>
          <w:p w:rsidR="008475E6" w:rsidRPr="006F6921" w:rsidRDefault="008475E6" w:rsidP="006F6921">
            <w:pPr>
              <w:pStyle w:val="a6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6F6921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Skrypnykov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Yarynych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Buchinska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Yuhov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Bohashov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(2007).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Opredilenie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plotnosti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kosti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parodontite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Determination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bone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density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periodontitis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Ukrainskii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stomatologichnii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almanax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Ukrainian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Dental</w:t>
            </w:r>
            <w:proofErr w:type="spell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Almanac</w:t>
            </w:r>
            <w:proofErr w:type="gramStart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,5</w:t>
            </w:r>
            <w:proofErr w:type="gramEnd"/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69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42-45 </w:t>
            </w: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[in Russian].</w:t>
            </w: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Савичук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О. В. Сучасні особливості стану тканин пародонту у дітей / О. О. Тимофєєва, Л. О. //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Лік</w:t>
            </w:r>
            <w:r w:rsidR="00A85899" w:rsidRPr="006F6921">
              <w:rPr>
                <w:rFonts w:ascii="Times New Roman" w:hAnsi="Times New Roman" w:cs="Times New Roman"/>
                <w:sz w:val="28"/>
                <w:szCs w:val="28"/>
              </w:rPr>
              <w:t>иУкраїни</w:t>
            </w:r>
            <w:proofErr w:type="spellEnd"/>
            <w:r w:rsidR="00A85899" w:rsidRPr="006F6921">
              <w:rPr>
                <w:rFonts w:ascii="Times New Roman" w:hAnsi="Times New Roman" w:cs="Times New Roman"/>
                <w:sz w:val="28"/>
                <w:szCs w:val="28"/>
              </w:rPr>
              <w:t>. – 2010. – № 3. – С. 54–56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2A0A00" w:rsidRPr="006F6921" w:rsidRDefault="006F6921" w:rsidP="006F692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proofErr w:type="gram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.Savychuk</w:t>
            </w:r>
            <w:proofErr w:type="gram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Timofeev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L.O. (2010).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Sychasni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osoblyvosti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stanu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tkanyn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parodonta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ditei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Modern features of the condition of periodontal tissues in children</w:t>
            </w:r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Liku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Ukrainu</w:t>
            </w:r>
            <w:proofErr w:type="spellEnd"/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2A0A00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Medicines of Ukraine</w:t>
            </w:r>
            <w:r w:rsidR="00A85899" w:rsidRPr="006F6921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, 3, 54-56 [in Ukrainian].</w:t>
            </w:r>
          </w:p>
          <w:p w:rsidR="008475E6" w:rsidRPr="006F6921" w:rsidRDefault="008475E6" w:rsidP="006F692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uk-UA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proofErr w:type="gramStart"/>
            <w:r w:rsidRPr="006F6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Makoto</w:t>
            </w:r>
            <w:proofErr w:type="spellEnd"/>
            <w:proofErr w:type="gram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O.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Effects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stzreptozotocin-induced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diabetes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neonatal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rats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with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naturalli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occurring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gingivitis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O.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Makoto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S.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Mitsuko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Departament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Pharmacologi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2003. –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37, № 1. – Р. 13–19. 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pStyle w:val="a6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Ogden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C. L.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Prevalence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trends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overweight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among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US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children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adolescents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C. L.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Ogden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K. M.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Flegal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M. D.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Carroll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// JAMA. – 2002. – </w:t>
            </w:r>
            <w:proofErr w:type="spellStart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Vol</w:t>
            </w:r>
            <w:proofErr w:type="spellEnd"/>
            <w:r w:rsidR="00D57CD8" w:rsidRPr="006F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288, № 14. – Р. 1728–1732.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16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Бюллетень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Всемирной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>здарохранения</w:t>
            </w:r>
            <w:proofErr w:type="spellEnd"/>
            <w:r w:rsidR="00D57CD8" w:rsidRPr="006F6921">
              <w:rPr>
                <w:rFonts w:ascii="Times New Roman" w:hAnsi="Times New Roman" w:cs="Times New Roman"/>
                <w:sz w:val="28"/>
                <w:szCs w:val="28"/>
              </w:rPr>
              <w:t xml:space="preserve">. – 2015. - № 93. – С. 594-595 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[Электронный ресурс]. – Режим доступа: </w:t>
            </w:r>
            <w:hyperlink r:id="rId8" w:history="1"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who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</w:t>
              </w:r>
              <w:proofErr w:type="spellEnd"/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bulletin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volumes</w:t>
              </w:r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/93/9/15-020915/</w:t>
              </w:r>
              <w:proofErr w:type="spellStart"/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57CD8" w:rsidRPr="006F692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5E6" w:rsidRPr="006F6921" w:rsidTr="00A85899">
        <w:tc>
          <w:tcPr>
            <w:tcW w:w="5396" w:type="dxa"/>
          </w:tcPr>
          <w:p w:rsidR="00D57CD8" w:rsidRPr="006F6921" w:rsidRDefault="006F6921" w:rsidP="006F6921">
            <w:pPr>
              <w:tabs>
                <w:tab w:val="left" w:pos="112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</w:pPr>
            <w:r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57CD8" w:rsidRPr="006F6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Keller</w:t>
            </w:r>
            <w:proofErr w:type="spellEnd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A. </w:t>
            </w:r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  <w:t xml:space="preserve">Association between periodontal disease and overweight and obesity: a systematic review / A. Keller, </w:t>
            </w:r>
            <w:proofErr w:type="spellStart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  <w:t>J.F.Rohde</w:t>
            </w:r>
            <w:proofErr w:type="spellEnd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  <w:t xml:space="preserve">, K. Raymond, B.L. </w:t>
            </w:r>
            <w:proofErr w:type="spellStart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  <w:t>Heitmann</w:t>
            </w:r>
            <w:proofErr w:type="spellEnd"/>
            <w:r w:rsidR="00D57CD8" w:rsidRPr="006F692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uk-UA"/>
              </w:rPr>
              <w:t xml:space="preserve"> // Journal of Periodontology. – 2015. –Vol. 86, N 6. –P.766-776. </w:t>
            </w:r>
          </w:p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33" w:type="dxa"/>
          </w:tcPr>
          <w:p w:rsidR="008475E6" w:rsidRPr="006F6921" w:rsidRDefault="008475E6" w:rsidP="006F69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4F3E" w:rsidRPr="006F6921" w:rsidRDefault="006E4F3E" w:rsidP="006F6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F3E" w:rsidRPr="006F6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E2" w:rsidRDefault="006977E2" w:rsidP="006977E2">
      <w:pPr>
        <w:spacing w:after="0" w:line="240" w:lineRule="auto"/>
      </w:pPr>
      <w:r>
        <w:separator/>
      </w:r>
    </w:p>
  </w:endnote>
  <w:endnote w:type="continuationSeparator" w:id="0">
    <w:p w:rsidR="006977E2" w:rsidRDefault="006977E2" w:rsidP="0069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E2" w:rsidRDefault="006977E2" w:rsidP="006977E2">
      <w:pPr>
        <w:spacing w:after="0" w:line="240" w:lineRule="auto"/>
      </w:pPr>
      <w:r>
        <w:separator/>
      </w:r>
    </w:p>
  </w:footnote>
  <w:footnote w:type="continuationSeparator" w:id="0">
    <w:p w:rsidR="006977E2" w:rsidRDefault="006977E2" w:rsidP="0069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4397"/>
    <w:multiLevelType w:val="hybridMultilevel"/>
    <w:tmpl w:val="BFB2B7C4"/>
    <w:lvl w:ilvl="0" w:tplc="B704BA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2DDA"/>
    <w:multiLevelType w:val="hybridMultilevel"/>
    <w:tmpl w:val="92FA2E4C"/>
    <w:lvl w:ilvl="0" w:tplc="B704BA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87520"/>
    <w:multiLevelType w:val="hybridMultilevel"/>
    <w:tmpl w:val="1438E4B8"/>
    <w:lvl w:ilvl="0" w:tplc="B704BA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57555"/>
    <w:multiLevelType w:val="hybridMultilevel"/>
    <w:tmpl w:val="0B620B8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44DAA"/>
    <w:multiLevelType w:val="hybridMultilevel"/>
    <w:tmpl w:val="E39C8F1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CA"/>
    <w:rsid w:val="000139D7"/>
    <w:rsid w:val="00026ABF"/>
    <w:rsid w:val="00045D7A"/>
    <w:rsid w:val="0005177E"/>
    <w:rsid w:val="000913CA"/>
    <w:rsid w:val="00092B11"/>
    <w:rsid w:val="000A1F59"/>
    <w:rsid w:val="000A5296"/>
    <w:rsid w:val="000E098D"/>
    <w:rsid w:val="000F55ED"/>
    <w:rsid w:val="00112019"/>
    <w:rsid w:val="001C552C"/>
    <w:rsid w:val="001D0241"/>
    <w:rsid w:val="002559A2"/>
    <w:rsid w:val="002A0A00"/>
    <w:rsid w:val="002D6F04"/>
    <w:rsid w:val="003107DB"/>
    <w:rsid w:val="0031739C"/>
    <w:rsid w:val="003457B4"/>
    <w:rsid w:val="00354467"/>
    <w:rsid w:val="003A5910"/>
    <w:rsid w:val="003E33B3"/>
    <w:rsid w:val="00406E8E"/>
    <w:rsid w:val="004313B7"/>
    <w:rsid w:val="00466649"/>
    <w:rsid w:val="0054199D"/>
    <w:rsid w:val="006232F4"/>
    <w:rsid w:val="00637375"/>
    <w:rsid w:val="00653151"/>
    <w:rsid w:val="00673E93"/>
    <w:rsid w:val="006977E2"/>
    <w:rsid w:val="006B341D"/>
    <w:rsid w:val="006E4F3E"/>
    <w:rsid w:val="006F6921"/>
    <w:rsid w:val="008475E6"/>
    <w:rsid w:val="00A01396"/>
    <w:rsid w:val="00A270FF"/>
    <w:rsid w:val="00A85899"/>
    <w:rsid w:val="00B47173"/>
    <w:rsid w:val="00B938B0"/>
    <w:rsid w:val="00B943DA"/>
    <w:rsid w:val="00BD2B9B"/>
    <w:rsid w:val="00BE35E9"/>
    <w:rsid w:val="00C230F1"/>
    <w:rsid w:val="00C349B0"/>
    <w:rsid w:val="00C41D4F"/>
    <w:rsid w:val="00C50534"/>
    <w:rsid w:val="00C9697D"/>
    <w:rsid w:val="00D10FB0"/>
    <w:rsid w:val="00D57CD8"/>
    <w:rsid w:val="00E14C59"/>
    <w:rsid w:val="00E41C69"/>
    <w:rsid w:val="00ED3BC3"/>
    <w:rsid w:val="00FA47BC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F25D-4212-438B-B677-13B4E1B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4C59"/>
    <w:pPr>
      <w:spacing w:after="12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E14C59"/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5177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E4F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E4F3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D2B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D2B9B"/>
    <w:rPr>
      <w:rFonts w:ascii="Consolas" w:hAnsi="Consolas"/>
      <w:sz w:val="20"/>
      <w:szCs w:val="20"/>
    </w:rPr>
  </w:style>
  <w:style w:type="table" w:styleId="a9">
    <w:name w:val="Table Grid"/>
    <w:basedOn w:val="a1"/>
    <w:uiPriority w:val="39"/>
    <w:rsid w:val="00847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97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977E2"/>
  </w:style>
  <w:style w:type="paragraph" w:styleId="ac">
    <w:name w:val="footer"/>
    <w:basedOn w:val="a"/>
    <w:link w:val="ad"/>
    <w:uiPriority w:val="99"/>
    <w:unhideWhenUsed/>
    <w:rsid w:val="00697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9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bulletin/volumes/93/9/15-020915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dmu.edu.ua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15077</Words>
  <Characters>8595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15</cp:revision>
  <cp:lastPrinted>2017-07-25T09:35:00Z</cp:lastPrinted>
  <dcterms:created xsi:type="dcterms:W3CDTF">2017-07-25T07:08:00Z</dcterms:created>
  <dcterms:modified xsi:type="dcterms:W3CDTF">2017-08-08T09:32:00Z</dcterms:modified>
</cp:coreProperties>
</file>