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DC" w:rsidRPr="00856B21" w:rsidRDefault="005334BE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УДК: </w:t>
      </w:r>
      <w:r w:rsidR="003D350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618.145-002.18:159.9</w:t>
      </w:r>
    </w:p>
    <w:p w:rsidR="000B24DC" w:rsidRPr="00856B21" w:rsidRDefault="005334BE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А. В. Бойчук, В.С.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Шадріна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Т. В. Верещагіна</w:t>
      </w:r>
    </w:p>
    <w:p w:rsidR="00F401BD" w:rsidRPr="00856B21" w:rsidRDefault="00F401BD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А. В. Бойчук, В.С. Шадрина, Т. В. Верещагина</w:t>
      </w:r>
    </w:p>
    <w:p w:rsidR="00F401BD" w:rsidRPr="00856B21" w:rsidRDefault="00F401BD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A.V.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Boichuk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V.S.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Shadrin</w:t>
      </w:r>
      <w:proofErr w:type="spellEnd"/>
      <w:r w:rsidR="005D52F1" w:rsidRPr="008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T.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Vereshchagina</w:t>
      </w:r>
      <w:proofErr w:type="spellEnd"/>
    </w:p>
    <w:p w:rsidR="00856B21" w:rsidRDefault="00856B21" w:rsidP="00EE45DE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</w:pPr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ДВНЗ «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Тернопільський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державний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медичний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університет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імені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І. Я. 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Горбачовського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МОЗ </w:t>
      </w:r>
      <w:proofErr w:type="spellStart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України</w:t>
      </w:r>
      <w:proofErr w:type="spellEnd"/>
      <w:r w:rsidRPr="00856B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F401BD" w:rsidRPr="00856B21" w:rsidRDefault="005D52F1" w:rsidP="00EE45DE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Start"/>
      <w:r w:rsidR="00F401B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афедра</w:t>
      </w:r>
      <w:proofErr w:type="spellEnd"/>
      <w:r w:rsidR="00F401B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кушерства та гінекології ННІ ПО</w:t>
      </w:r>
    </w:p>
    <w:p w:rsidR="00F401BD" w:rsidRPr="00856B21" w:rsidRDefault="005D52F1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ОЦІНКА ПСИХОСОМАТИЧНОГО СТАНУ У ЖІНОК З ГІПЕРПЛАСТИЧНИМИ ПРОЦЕСАМИ ЕНДОМЕТРІЯ.</w:t>
      </w:r>
    </w:p>
    <w:p w:rsidR="00EB26D2" w:rsidRPr="00856B21" w:rsidRDefault="00EB26D2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Мета дослідження – 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особливостей особистості і темпераменту хворих з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гіперпластичними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232985" w:rsidRPr="00856B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до та після діагностичного вишкрібання стінок порожнини матки, для виявлення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дезадаптивних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якостей особистості на основі запропонованої нами терапії.</w:t>
      </w:r>
    </w:p>
    <w:p w:rsidR="00EB26D2" w:rsidRPr="00856B21" w:rsidRDefault="00EB26D2" w:rsidP="00CE753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 та методи.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бстежено 60  пацієнток з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дисфункціональними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матковими кровотечами на фоні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процесів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У всіх пацієнток визначалися особливості особистості і характеру за опитувальником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Клонінджера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«Структура темпераменту і характеру». Дослідна група пацієнток отримувала запропоновану нами терапію : препарати, що містять діючу речовину –«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фенібут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» по 250 мг 2 рази на добу.</w:t>
      </w:r>
    </w:p>
    <w:p w:rsidR="00EB26D2" w:rsidRPr="00856B21" w:rsidRDefault="00EB26D2" w:rsidP="00CE7532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дослідження та їх обговорення.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і </w:t>
      </w:r>
      <w:proofErr w:type="spellStart"/>
      <w:proofErr w:type="gram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ісля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діагностичного вишкрібання стінок порожнини матки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отримували запропоновану нами терапію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легше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справляються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ситуацією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склалася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порівнянні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групою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отримували загальноприйняте лікування.</w:t>
      </w:r>
    </w:p>
    <w:p w:rsidR="00EB26D2" w:rsidRPr="00856B21" w:rsidRDefault="00EB26D2" w:rsidP="00CE7532">
      <w:pPr>
        <w:spacing w:after="0" w:line="36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Висновки. Отримані дані вимагають обов'язкового врахування під час розроблення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медико-психологічного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супроводу в комплексній системі реабілітації жінок до і після діагностичного вишкрібання стінок порожнини матки з прив</w:t>
      </w:r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ду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гіперпластичних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процесів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68C1" w:rsidRPr="00856B21" w:rsidRDefault="00EB26D2" w:rsidP="00EE45DE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гіперпластичні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психо-емоційні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розлади.</w:t>
      </w:r>
    </w:p>
    <w:p w:rsidR="005D52F1" w:rsidRPr="00856B21" w:rsidRDefault="005D52F1" w:rsidP="00CE75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ОЦЕНКА </w:t>
      </w:r>
      <w:r w:rsidRPr="00856B21">
        <w:rPr>
          <w:rFonts w:ascii="Times New Roman" w:hAnsi="Times New Roman" w:cs="Times New Roman"/>
          <w:sz w:val="28"/>
          <w:szCs w:val="28"/>
        </w:rPr>
        <w:t>ПСИХОСОМАТИЧЕСКОГО СОСТОЯНИЯ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У ЖЕНЩИН С ГИПЕРПЛАСТИЧЕСКИМИ ПРОЦЕСАМИ ЭНДОМЕТРИЯ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Цель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определение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особенностей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гиперпластическими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процесмы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эндометрия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до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диагностического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выскабливания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стенок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полости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матки, для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выявления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дезадаптивных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качеств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предложенной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нами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A741D" w:rsidRPr="00856B21">
        <w:rPr>
          <w:rFonts w:ascii="Times New Roman" w:hAnsi="Times New Roman" w:cs="Times New Roman"/>
          <w:sz w:val="28"/>
          <w:szCs w:val="28"/>
          <w:lang w:val="uk-UA"/>
        </w:rPr>
        <w:t>Обследовано</w:t>
      </w:r>
      <w:proofErr w:type="spellEnd"/>
      <w:r w:rsidR="002A741D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60 </w:t>
      </w:r>
      <w:proofErr w:type="spellStart"/>
      <w:r w:rsidR="002A741D" w:rsidRPr="00856B21">
        <w:rPr>
          <w:rFonts w:ascii="Times New Roman" w:hAnsi="Times New Roman" w:cs="Times New Roman"/>
          <w:sz w:val="28"/>
          <w:szCs w:val="28"/>
          <w:lang w:val="uk-UA"/>
        </w:rPr>
        <w:t>пациенток</w:t>
      </w:r>
      <w:proofErr w:type="spellEnd"/>
      <w:r w:rsidR="002A741D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дисфункциональными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маточными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кровотечениями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фоне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гиперпластических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эндометрия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пациенток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определялись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опроснику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Клонинджера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«Структура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темперамента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Опытная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группа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пациенток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получала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предложенную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нами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терапию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препараты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содержащие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действующее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вещество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- «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фенибут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» по 250 мг 2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раза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в сутки.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Результаты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обсуждение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До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диагностического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выскабливания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стенок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полости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женщины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получавших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предложенную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нами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терапию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легче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справляются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ситуацией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сложившейся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сравнению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группой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женщин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получавших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общепринятое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Выводы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Полученные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данные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требуют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обязательного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учета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разработке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медико-психологического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сопровождения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комплексной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системе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реабилитации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женщин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до и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диагностического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выскабливания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стенок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полости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матки с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привду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гиперпластических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эндометрия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EB26D2" w:rsidP="00EE45D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слова: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гиперпластические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процессы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эндометрия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психо-эмоциональные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расстройства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8C1" w:rsidRPr="00856B21" w:rsidRDefault="005D52F1" w:rsidP="00CE75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>ESTIMATION OF PSYCHOSOMATIC STATUS IN WOMEN WITH HYPERPLASTIC PROCEDURES ENDOMETRY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purpose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determine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personality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temperament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hyperplastic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before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lastRenderedPageBreak/>
        <w:t>after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diagnostic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eruption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walls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uterine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cavity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detect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maladaptive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qualities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individual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basis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therapy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proposed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us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4FFA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dysfunctional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uterine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bleeding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background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hyperplastic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examined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defined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personality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character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questionnaire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Cloninger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temperament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character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."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experimental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received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therapy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proposed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drugs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containing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active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substance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phenibut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250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mg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day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1F4FFA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56B21">
        <w:rPr>
          <w:rFonts w:ascii="Times New Roman" w:hAnsi="Times New Roman" w:cs="Times New Roman"/>
          <w:sz w:val="28"/>
          <w:szCs w:val="28"/>
          <w:lang w:val="en-US"/>
        </w:rPr>
        <w:t>Results and Discussion.</w:t>
      </w:r>
      <w:proofErr w:type="gram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Before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diagnostic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eruption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walls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uterine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cavity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received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therapy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offered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easier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cope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situation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comparison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who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received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usual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treatment</w:t>
      </w:r>
      <w:proofErr w:type="spellEnd"/>
      <w:r w:rsidR="00EB26D2"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Conclusions</w:t>
      </w:r>
      <w:proofErr w:type="spellEnd"/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obtained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require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compulsory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consideration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medical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comprehensive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rehabilitation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women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before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diagnostic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eruption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walls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uterine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cavity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hyperplastic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6D2" w:rsidRPr="00856B21" w:rsidRDefault="00EB26D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hyperplastic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psycho-emotional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disorders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4DC" w:rsidRPr="00856B21" w:rsidRDefault="00FC5397" w:rsidP="00EE45DE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ВСТУП</w:t>
      </w:r>
      <w:r w:rsidR="005D52F1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868C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питомої ваги раку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серед злоякісних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новоутворень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жіночих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статевих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гіперпластичних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8C1" w:rsidRPr="00856B21">
        <w:rPr>
          <w:rFonts w:ascii="Times New Roman" w:hAnsi="Times New Roman" w:cs="Times New Roman"/>
          <w:sz w:val="28"/>
          <w:szCs w:val="28"/>
        </w:rPr>
        <w:t>ендометрія</w:t>
      </w:r>
      <w:proofErr w:type="spellEnd"/>
      <w:r w:rsidR="009868C1" w:rsidRPr="00856B21">
        <w:rPr>
          <w:rFonts w:ascii="Times New Roman" w:hAnsi="Times New Roman" w:cs="Times New Roman"/>
          <w:sz w:val="28"/>
          <w:szCs w:val="28"/>
        </w:rPr>
        <w:t>.</w:t>
      </w:r>
      <w:r w:rsidR="009868C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24DC"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Гіперпластичні</w:t>
      </w:r>
      <w:proofErr w:type="spellEnd"/>
      <w:r w:rsidR="000B24DC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процеси </w:t>
      </w:r>
      <w:proofErr w:type="spellStart"/>
      <w:r w:rsidR="000B24DC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="000B24DC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займають значне місце в структурі гінекологічної захворюваності жінок репродуктивного віку і є однією із частих причин госпіталізації жінок у гінекологічний стаціонар</w:t>
      </w:r>
      <w:r w:rsidR="00F401BD" w:rsidRPr="00856B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C87" w:rsidRPr="00856B21" w:rsidRDefault="006B3C87" w:rsidP="00CE753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Своєчасна діагностика й лікування даної патології є однією з актуальних проблем сучасної гінекології. Висока частота рецидивів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гіперпластичних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процесів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>, можливість їх злоякісної трансформації вимагають удосконалювання методів діагностики даної патології, переосмислення накопиченого досвіду [</w:t>
      </w:r>
      <w:r w:rsidR="00EE45DE" w:rsidRPr="00856B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6B3C87" w:rsidRPr="00856B21" w:rsidRDefault="006B3C87" w:rsidP="00CE753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6B21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proofErr w:type="gramStart"/>
      <w:r w:rsidRPr="00856B2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56B21">
        <w:rPr>
          <w:rFonts w:ascii="Times New Roman" w:hAnsi="Times New Roman" w:cs="Times New Roman"/>
          <w:sz w:val="28"/>
          <w:szCs w:val="28"/>
        </w:rPr>
        <w:t>ідженні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B2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гістеректомії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в 60,0%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при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попередньому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кюретажі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діагноз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повній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не точно, тому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ендоскопічних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перспективним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sz w:val="28"/>
          <w:szCs w:val="28"/>
        </w:rPr>
        <w:t>гінекології</w:t>
      </w:r>
      <w:proofErr w:type="spellEnd"/>
      <w:r w:rsidRPr="00856B21">
        <w:rPr>
          <w:rFonts w:ascii="Times New Roman" w:hAnsi="Times New Roman" w:cs="Times New Roman"/>
          <w:sz w:val="28"/>
          <w:szCs w:val="28"/>
        </w:rPr>
        <w:t xml:space="preserve"> [</w:t>
      </w:r>
      <w:r w:rsidR="00EE45DE" w:rsidRPr="00856B21">
        <w:rPr>
          <w:rFonts w:ascii="Times New Roman" w:hAnsi="Times New Roman" w:cs="Times New Roman"/>
          <w:sz w:val="28"/>
          <w:szCs w:val="28"/>
          <w:lang w:val="uk-UA"/>
        </w:rPr>
        <w:t>4,8</w:t>
      </w:r>
      <w:r w:rsidRPr="00856B21">
        <w:rPr>
          <w:rFonts w:ascii="Times New Roman" w:hAnsi="Times New Roman" w:cs="Times New Roman"/>
          <w:sz w:val="28"/>
          <w:szCs w:val="28"/>
        </w:rPr>
        <w:t>].</w:t>
      </w:r>
    </w:p>
    <w:p w:rsidR="000B24DC" w:rsidRPr="00856B21" w:rsidRDefault="000B24DC" w:rsidP="00CE753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Однак не можна забувати про те, що об'єктом лікувальної діяльності в гінекології є статеві органи жінки, і цей зв'язок з процесом статевого життя ускладнює роботу гінеколога, переплітаючись з безліччю психологічних, соціальних і етичних проблем. </w:t>
      </w:r>
      <w:proofErr w:type="gram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матка - символ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жіночності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сексуаль</w:t>
      </w:r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ної</w:t>
      </w:r>
      <w:proofErr w:type="spellEnd"/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молодості</w:t>
      </w:r>
      <w:proofErr w:type="spellEnd"/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здоров'я</w:t>
      </w:r>
      <w:proofErr w:type="spellEnd"/>
      <w:r w:rsidR="001F4FFA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1,5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6B3C87" w:rsidRPr="00856B21" w:rsidRDefault="006B3C87" w:rsidP="00CE753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"/>
        </w:rPr>
        <w:t>В дослідженнях у жінок, які звернулись по допомогу, важливо контролювати консультаційну поведінку, що сама по собі пов'язана із психологічним стресом</w:t>
      </w:r>
      <w:r w:rsidR="001F4FFA" w:rsidRPr="00856B21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1F4FFA" w:rsidRPr="00856B21">
        <w:rPr>
          <w:rFonts w:ascii="Times New Roman" w:hAnsi="Times New Roman" w:cs="Times New Roman"/>
          <w:sz w:val="28"/>
          <w:szCs w:val="28"/>
        </w:rPr>
        <w:t>[</w:t>
      </w:r>
      <w:r w:rsidR="00EE45DE" w:rsidRPr="00856B2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F4FFA" w:rsidRPr="00856B21">
        <w:rPr>
          <w:rFonts w:ascii="Times New Roman" w:hAnsi="Times New Roman" w:cs="Times New Roman"/>
          <w:sz w:val="28"/>
          <w:szCs w:val="28"/>
        </w:rPr>
        <w:t>]</w:t>
      </w:r>
      <w:r w:rsidRPr="00856B21">
        <w:rPr>
          <w:rFonts w:ascii="Times New Roman" w:hAnsi="Times New Roman" w:cs="Times New Roman"/>
          <w:sz w:val="28"/>
          <w:szCs w:val="28"/>
          <w:lang w:val="uk"/>
        </w:rPr>
        <w:t>.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Виникає необхідність в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обгрунтованому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диференційованому підході до лікування хворих з цією патологією й у можливості оцінювання ефективності призначеної терапії.</w:t>
      </w:r>
    </w:p>
    <w:p w:rsidR="00F120F1" w:rsidRPr="00856B21" w:rsidRDefault="00276EED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5397" w:rsidRPr="00856B21">
        <w:rPr>
          <w:rFonts w:ascii="Times New Roman" w:hAnsi="Times New Roman" w:cs="Times New Roman"/>
          <w:sz w:val="28"/>
          <w:szCs w:val="28"/>
          <w:lang w:val="uk-UA"/>
        </w:rPr>
        <w:t>ЕТА ДОСЛІДЖЕННЯ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особливостей особистості і темпераменту хворих </w:t>
      </w:r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гіперпластичними</w:t>
      </w:r>
      <w:proofErr w:type="spellEnd"/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>процесми</w:t>
      </w:r>
      <w:proofErr w:type="spellEnd"/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за опитувальником </w:t>
      </w:r>
      <w:proofErr w:type="spellStart"/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>Клонінджера</w:t>
      </w:r>
      <w:proofErr w:type="spellEnd"/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, до та після </w:t>
      </w:r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діагностичного </w:t>
      </w:r>
      <w:r w:rsidR="00F533C4" w:rsidRPr="00856B21">
        <w:rPr>
          <w:rFonts w:ascii="Times New Roman" w:hAnsi="Times New Roman" w:cs="Times New Roman"/>
          <w:sz w:val="28"/>
          <w:szCs w:val="28"/>
          <w:lang w:val="uk-UA"/>
        </w:rPr>
        <w:t>вишкрібання стінок порожнини матки</w:t>
      </w:r>
      <w:r w:rsidR="00CF775C" w:rsidRPr="00856B21">
        <w:rPr>
          <w:rFonts w:ascii="Times New Roman" w:hAnsi="Times New Roman" w:cs="Times New Roman"/>
          <w:sz w:val="28"/>
          <w:szCs w:val="28"/>
          <w:lang w:val="uk-UA"/>
        </w:rPr>
        <w:t>, для</w:t>
      </w:r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</w:t>
      </w:r>
      <w:r w:rsidR="00E34119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>дезадаптивних</w:t>
      </w:r>
      <w:proofErr w:type="spellEnd"/>
      <w:r w:rsidR="00F120F1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якостей особистості </w:t>
      </w:r>
      <w:r w:rsidR="00214880" w:rsidRPr="00856B21">
        <w:rPr>
          <w:rFonts w:ascii="Times New Roman" w:hAnsi="Times New Roman" w:cs="Times New Roman"/>
          <w:sz w:val="28"/>
          <w:szCs w:val="28"/>
          <w:lang w:val="uk-UA"/>
        </w:rPr>
        <w:t>на основі запропонованої нами терапії.</w:t>
      </w:r>
    </w:p>
    <w:p w:rsidR="006B3C87" w:rsidRPr="00856B21" w:rsidRDefault="00FB2742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ТА МЕТОДИ. </w:t>
      </w:r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Нами було комплексно обстежено 60  пацієнток у віці від 37 і до 54 років з </w:t>
      </w:r>
      <w:proofErr w:type="spellStart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>дисфункціональними</w:t>
      </w:r>
      <w:proofErr w:type="spellEnd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матковими кровотечами на фоні </w:t>
      </w:r>
      <w:proofErr w:type="spellStart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гіперпластичних</w:t>
      </w:r>
      <w:proofErr w:type="spellEnd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процесів </w:t>
      </w:r>
      <w:proofErr w:type="spellStart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3C87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Жінки були розподілені на 2 групи в залежності від  використаної терапії: відсутності (І </w:t>
      </w:r>
      <w:proofErr w:type="spellStart"/>
      <w:r w:rsidR="006B3C87" w:rsidRPr="00856B21">
        <w:rPr>
          <w:rFonts w:ascii="Times New Roman" w:hAnsi="Times New Roman" w:cs="Times New Roman"/>
          <w:sz w:val="28"/>
          <w:szCs w:val="28"/>
          <w:lang w:val="uk-UA"/>
        </w:rPr>
        <w:t>група-</w:t>
      </w:r>
      <w:proofErr w:type="spellEnd"/>
      <w:r w:rsidR="006B3C87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контрольна) і наявності(ІІ група-дослідна) запропонованої нами терапії.  Кожну групу розподілено на підгрупи в залежності від методу дослідження:</w:t>
      </w:r>
    </w:p>
    <w:p w:rsidR="006B3C87" w:rsidRPr="00856B21" w:rsidRDefault="006B3C87" w:rsidP="00CE7532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І А –(15 жінок)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діагностичне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(«сліпе»)+ загальноприйняті реабілітаційні заходи,</w:t>
      </w:r>
    </w:p>
    <w:p w:rsidR="006B3C87" w:rsidRPr="00856B21" w:rsidRDefault="006B3C87" w:rsidP="00CE7532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Б –(15 жінок) 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діагностичне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(за допомогою гістероскопа)+ загальноприйняті реабілітаційні заходи,</w:t>
      </w:r>
    </w:p>
    <w:p w:rsidR="006B3C87" w:rsidRPr="00856B21" w:rsidRDefault="006B3C87" w:rsidP="00CE7532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ІІ А –(15 жінок)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діагностичне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(«сліпе»)+ запропонована нами терапія ,</w:t>
      </w:r>
    </w:p>
    <w:p w:rsidR="006B3C87" w:rsidRPr="00856B21" w:rsidRDefault="006B3C87" w:rsidP="00CE7532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ІІ Б –(15 жінок) 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діагностичне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(за допомогою гістероскопа)+ запропонована нами терапія.</w:t>
      </w:r>
    </w:p>
    <w:p w:rsidR="00A000CA" w:rsidRPr="00856B21" w:rsidRDefault="00E34119" w:rsidP="00CE75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>Запропоноване о</w:t>
      </w:r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бстеження  пацієнток з </w:t>
      </w:r>
      <w:proofErr w:type="spellStart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>дисфунціональними</w:t>
      </w:r>
      <w:proofErr w:type="spellEnd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матковими кровотечами з приводу гіперплазії </w:t>
      </w:r>
      <w:proofErr w:type="spellStart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="00A000C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проводилося до і та після діагностичного вишкрібання порожнини матки. </w:t>
      </w:r>
    </w:p>
    <w:p w:rsidR="00CE7532" w:rsidRPr="00856B21" w:rsidRDefault="00A000CA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>З метою поглибленого ана</w:t>
      </w:r>
      <w:r w:rsidR="00E34119" w:rsidRPr="00856B21">
        <w:rPr>
          <w:rFonts w:ascii="Times New Roman" w:hAnsi="Times New Roman" w:cs="Times New Roman"/>
          <w:sz w:val="28"/>
          <w:szCs w:val="28"/>
          <w:lang w:val="uk-UA"/>
        </w:rPr>
        <w:t>лізу скарг жінок за період до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і після </w:t>
      </w:r>
      <w:r w:rsidR="009C1449" w:rsidRPr="00856B21">
        <w:rPr>
          <w:rFonts w:ascii="Times New Roman" w:hAnsi="Times New Roman" w:cs="Times New Roman"/>
          <w:sz w:val="28"/>
          <w:szCs w:val="28"/>
          <w:lang w:val="uk-UA"/>
        </w:rPr>
        <w:t>діагностичного</w:t>
      </w:r>
      <w:r w:rsidR="00276EED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вишкрібання стінок порожнини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у всіх пацієнток визначалися особливості особистості і характеру хворих на </w:t>
      </w:r>
      <w:proofErr w:type="spellStart"/>
      <w:r w:rsidR="009C1449" w:rsidRPr="00856B21">
        <w:rPr>
          <w:rFonts w:ascii="Times New Roman" w:hAnsi="Times New Roman" w:cs="Times New Roman"/>
          <w:sz w:val="28"/>
          <w:szCs w:val="28"/>
          <w:lang w:val="uk-UA"/>
        </w:rPr>
        <w:t>гіперпластичні</w:t>
      </w:r>
      <w:proofErr w:type="spellEnd"/>
      <w:r w:rsidR="009C1449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процеси </w:t>
      </w:r>
      <w:proofErr w:type="spellStart"/>
      <w:r w:rsidR="009C1449" w:rsidRPr="00856B21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за опитувальником 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Клонінджера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«Структура</w:t>
      </w:r>
      <w:r w:rsidR="001F4FFA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темпераменту і характеру» [</w:t>
      </w:r>
      <w:r w:rsidR="00EE45DE" w:rsidRPr="00856B21">
        <w:rPr>
          <w:rFonts w:ascii="Times New Roman" w:hAnsi="Times New Roman" w:cs="Times New Roman"/>
          <w:sz w:val="28"/>
          <w:szCs w:val="28"/>
          <w:lang w:val="uk-UA"/>
        </w:rPr>
        <w:t>6,7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6B3C87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Особливість тесту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Клонінджера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реалізації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діменсіонального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(лат.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Dimensio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вимі</w:t>
      </w:r>
      <w:proofErr w:type="gram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gram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розмір, розміреність) підходу.</w:t>
      </w:r>
    </w:p>
    <w:p w:rsidR="00CE7532" w:rsidRPr="00856B21" w:rsidRDefault="00CE7532" w:rsidP="00EE45DE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Опитувальник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список з 140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тверджень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складаються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шести шкал,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діляться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субшкал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ньому виділяються три базових вимірювання характеру: «Пошук нового», «Уникнення небезпеки» і «Залежність від заохочення» .А три шкали характеру: «Самостійність», «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Кооперативность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і «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Самотрансцендентність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дають додаткову інформацію про адаптивності особистості.</w:t>
      </w:r>
    </w:p>
    <w:p w:rsidR="00A000CA" w:rsidRPr="00856B21" w:rsidRDefault="00A000CA" w:rsidP="00CE753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sz w:val="28"/>
          <w:szCs w:val="28"/>
          <w:lang w:val="uk-UA"/>
        </w:rPr>
        <w:t>Основними моментами запропонованої нами терапії були такі:</w:t>
      </w:r>
      <w:r w:rsidR="00CE7532" w:rsidRPr="00856B21">
        <w:rPr>
          <w:rFonts w:ascii="Times New Roman" w:hAnsi="Times New Roman" w:cs="Times New Roman"/>
          <w:sz w:val="28"/>
          <w:szCs w:val="28"/>
        </w:rPr>
        <w:t xml:space="preserve"> 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>1.Переддіагностична підготовка</w:t>
      </w:r>
      <w:r w:rsidR="00E34119"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препарати, що містять діючу речовину –«</w:t>
      </w:r>
      <w:proofErr w:type="spellStart"/>
      <w:r w:rsidRPr="00856B21">
        <w:rPr>
          <w:rFonts w:ascii="Times New Roman" w:hAnsi="Times New Roman" w:cs="Times New Roman"/>
          <w:sz w:val="28"/>
          <w:szCs w:val="28"/>
          <w:lang w:val="uk-UA"/>
        </w:rPr>
        <w:t>фенібут</w:t>
      </w:r>
      <w:proofErr w:type="spellEnd"/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» по 250 мг 2 рази на добу за 1-2 дня до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</w:t>
      </w:r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ого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532" w:rsidRPr="00856B21">
        <w:rPr>
          <w:rFonts w:ascii="Times New Roman" w:hAnsi="Times New Roman" w:cs="Times New Roman"/>
          <w:sz w:val="28"/>
          <w:szCs w:val="28"/>
        </w:rPr>
        <w:t xml:space="preserve"> 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2. Після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діагностичн</w:t>
      </w:r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ого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вишкрібання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порожнини</w:t>
      </w:r>
      <w:proofErr w:type="spellEnd"/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матки</w:t>
      </w:r>
      <w:r w:rsidRPr="00856B2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-</w:t>
      </w:r>
      <w:r w:rsidRPr="00856B21">
        <w:rPr>
          <w:rFonts w:ascii="Times New Roman" w:hAnsi="Times New Roman" w:cs="Times New Roman"/>
          <w:sz w:val="28"/>
          <w:szCs w:val="28"/>
          <w:lang w:val="uk-UA"/>
        </w:rPr>
        <w:t xml:space="preserve"> по 250 мг 2 рази на добу 3-5 днів. </w:t>
      </w:r>
    </w:p>
    <w:p w:rsidR="003458E5" w:rsidRPr="00856B21" w:rsidRDefault="00FB2742" w:rsidP="00EE45DE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ДОСЛІДЖЕННЯ ТА ЇХ ОБГОВОРЕННЯ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обстеження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діагностичного вишкрібання</w:t>
      </w:r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представлені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графік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1</w:t>
      </w:r>
      <w:r w:rsidR="00EE01D6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результ</w:t>
      </w:r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допомогою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опиту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вальника</w:t>
      </w:r>
      <w:proofErr w:type="spellEnd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Клонінджера</w:t>
      </w:r>
      <w:proofErr w:type="spellEnd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маємо</w:t>
      </w:r>
      <w:proofErr w:type="spellEnd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proofErr w:type="gramStart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gramEnd"/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</w:t>
      </w:r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жінки</w:t>
      </w:r>
      <w:proofErr w:type="spell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отримували загальноприйняте лікування</w:t>
      </w:r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характеризуються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завбачливі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тривожно-турботливі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невпевнених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собі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боязкі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E5" w:rsidRPr="00856B21" w:rsidRDefault="003458E5" w:rsidP="00CE75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Інтерпретація даних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групи асоціюєть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ся з низьким рівнем тривожності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безтурботністю, сміливістю, і впевненістю в собі. Жінок об'єднує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інтернальність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локус контролю, особистісна зрілість - вони вважають себе відповідальними за свої установки і поведінку, здатні довіряти іншим людям.</w:t>
      </w:r>
    </w:p>
    <w:p w:rsidR="000B24DC" w:rsidRPr="00856B21" w:rsidRDefault="00925C85" w:rsidP="00CE75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Графік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1: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характеру перед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діагностичним вишкрібанням</w:t>
      </w:r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порожнини матки («слі</w:t>
      </w:r>
      <w:proofErr w:type="gramStart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пе» та</w:t>
      </w:r>
      <w:proofErr w:type="gramEnd"/>
      <w:r w:rsidR="00CE753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допомогою гістероскопа)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458E5" w:rsidRPr="00856B2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66CC56" wp14:editId="5FB9B45D">
            <wp:extent cx="5939790" cy="3793084"/>
            <wp:effectExtent l="0" t="0" r="22860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B24DC" w:rsidRPr="00856B21" w:rsidRDefault="000B24DC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458E5" w:rsidRPr="00856B21" w:rsidRDefault="00EE01D6" w:rsidP="00CE75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обстеження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ісля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діагностичного вишкрібання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графіку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FB2742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 обстеження р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івень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тривожності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знизився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I і II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групу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об'єднували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характеристики як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втома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слабкість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незахищеність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невпевненість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собі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II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об'єднані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характеристики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целестремленность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конструктивність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зібраність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ступінь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внутрішньої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інтеграції</w:t>
      </w:r>
      <w:proofErr w:type="spellEnd"/>
      <w:r w:rsidR="003458E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«Я».</w:t>
      </w:r>
    </w:p>
    <w:p w:rsidR="000B24DC" w:rsidRPr="00856B21" w:rsidRDefault="000B24DC" w:rsidP="00CE75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</w:t>
      </w:r>
      <w:r w:rsidR="00EE01D6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характеру </w:t>
      </w:r>
      <w:proofErr w:type="gramStart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Start"/>
      <w:proofErr w:type="gram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ісля</w:t>
      </w:r>
      <w:proofErr w:type="spellEnd"/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C85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діагностичним вишкрібанням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(«сліпе» та за допомогою гістероскопа).</w:t>
      </w:r>
      <w:r w:rsidRPr="00856B2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494BAB" wp14:editId="00E8DC68">
            <wp:extent cx="5940425" cy="3793490"/>
            <wp:effectExtent l="0" t="0" r="22225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6EED" w:rsidRPr="00856B21" w:rsidRDefault="00276EED" w:rsidP="00CE75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Разом з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слід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зазначити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високій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достовірності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результатів</w:t>
      </w:r>
      <w:proofErr w:type="spellEnd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амі</w:t>
      </w:r>
      <w:proofErr w:type="spellEnd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кореляції</w:t>
      </w:r>
      <w:proofErr w:type="spellEnd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невеликі</w:t>
      </w:r>
      <w:proofErr w:type="spellEnd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0.</w:t>
      </w:r>
      <w:r w:rsidR="00EE45DE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76EED" w:rsidRPr="00856B21" w:rsidRDefault="00276EED" w:rsidP="00CE7532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і після діагностичного вишкрібання стінок порожнини матки 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група жінок легше справляються з ситуацією, яка склалася (для них характерний прагматичний раціоналізм) в порівнянні з І групою жінок вимагає більше часу, щоб «прийти до себе» після пережитого стресу.</w:t>
      </w:r>
    </w:p>
    <w:p w:rsidR="008D6ABA" w:rsidRPr="00856B21" w:rsidRDefault="00FB2742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ВИСНОВКИ. </w:t>
      </w:r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Психоемоційний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 жінок, які перенесли </w:t>
      </w:r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діагностичне вишкрібання стінок порожнини матки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відрізняється р</w:t>
      </w:r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ізноманітністю в залежності від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відсутності або наявно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 запропонованої нами терапії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Особливості особистості та характеру хворих на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гіперпластичні</w:t>
      </w:r>
      <w:proofErr w:type="spellEnd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процеси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ендометрія</w:t>
      </w:r>
      <w:proofErr w:type="spellEnd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опитувальником </w:t>
      </w:r>
      <w:proofErr w:type="spellStart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Клонінджера</w:t>
      </w:r>
      <w:proofErr w:type="spellEnd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до і після </w:t>
      </w:r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діагностичного вишкрібання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характеризує жінок із запропонованою нами терапією (II група) 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більшою стійкістю в порівнянні з жінками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 пройшли загальноприйняті реабілітаційні заходи (I група).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Запропо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нована нами терапія 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ефективною для коре</w:t>
      </w:r>
      <w:r w:rsidR="00E34119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кції </w:t>
      </w:r>
      <w:proofErr w:type="spellStart"/>
      <w:r w:rsidR="00E34119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психо-емоційних</w:t>
      </w:r>
      <w:proofErr w:type="spellEnd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станів у жінок з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гіперпластичними</w:t>
      </w:r>
      <w:proofErr w:type="spellEnd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процесами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ендометрія</w:t>
      </w:r>
      <w:proofErr w:type="spellEnd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76EED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Отримані дані вимагають обов'язкового врахування під час розроблення </w:t>
      </w:r>
      <w:proofErr w:type="spellStart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медико-психологічного</w:t>
      </w:r>
      <w:proofErr w:type="spellEnd"/>
      <w:r w:rsidR="008D6ABA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супроводу в комплексній системі реабілітації жінок до і після </w:t>
      </w:r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діагностичного вишкрібання стінок порожнини матки з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привду</w:t>
      </w:r>
      <w:proofErr w:type="spellEnd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гіперпластичних</w:t>
      </w:r>
      <w:proofErr w:type="spellEnd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процесів </w:t>
      </w:r>
      <w:proofErr w:type="spellStart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ендометрія</w:t>
      </w:r>
      <w:proofErr w:type="spellEnd"/>
      <w:r w:rsidR="00486608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F775C" w:rsidRPr="00856B21" w:rsidRDefault="00FB2742" w:rsidP="00CE753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ПЕРСПЕКТИВИ ПОДАЛЬШИХ ДОСЛІДЖЕНЬ. </w:t>
      </w:r>
      <w:r w:rsidR="00CF775C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Перспективою подальших досліджень є оцінка та покращення якості життя жінок з </w:t>
      </w:r>
      <w:proofErr w:type="spellStart"/>
      <w:r w:rsidR="00CF775C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гіперпластичними</w:t>
      </w:r>
      <w:proofErr w:type="spellEnd"/>
      <w:r w:rsidR="00CF775C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процесами </w:t>
      </w:r>
      <w:proofErr w:type="spellStart"/>
      <w:r w:rsidR="00CF775C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ендометрія</w:t>
      </w:r>
      <w:proofErr w:type="spellEnd"/>
      <w:r w:rsidR="00CF775C" w:rsidRPr="00856B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94E52">
        <w:rPr>
          <w:rFonts w:ascii="Times New Roman" w:hAnsi="Times New Roman" w:cs="Times New Roman"/>
          <w:sz w:val="28"/>
          <w:szCs w:val="28"/>
        </w:rPr>
        <w:fldChar w:fldCharType="begin"/>
      </w:r>
      <w:r w:rsidRPr="00694E52">
        <w:rPr>
          <w:rFonts w:ascii="Times New Roman" w:hAnsi="Times New Roman" w:cs="Times New Roman"/>
          <w:sz w:val="28"/>
          <w:szCs w:val="28"/>
        </w:rPr>
        <w:instrText xml:space="preserve"> HYPERLINK "http://library.zsmu.edu.ua/cgi/irbis64r_14/cgiirbis_64.exe?LNG=&amp;Z21ID=&amp;I21DBN=ZSMUL&amp;P21DBN=ZSMUL&amp;S21STN=1&amp;S21REF=1&amp;S21FMT=fullwebr&amp;C21COM=S&amp;S21CNR=20&amp;S21P01=0&amp;S21P02=1&amp;S21P03=A=&amp;S21STR=%D0%91%D0%B5%D0%BD%D1%8E%D0%BA,%20%D0%92.%20%D0%9E." </w:instrText>
      </w:r>
      <w:r w:rsidRPr="00694E52">
        <w:rPr>
          <w:rFonts w:ascii="Times New Roman" w:hAnsi="Times New Roman" w:cs="Times New Roman"/>
          <w:sz w:val="28"/>
          <w:szCs w:val="28"/>
        </w:rPr>
        <w:fldChar w:fldCharType="separate"/>
      </w:r>
      <w:r w:rsidRPr="00694E52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Бенюк В. О.</w:t>
      </w:r>
      <w:r w:rsidRPr="00694E52">
        <w:rPr>
          <w:rFonts w:ascii="Times New Roman" w:hAnsi="Times New Roman" w:cs="Times New Roman"/>
          <w:sz w:val="28"/>
          <w:szCs w:val="28"/>
        </w:rPr>
        <w:fldChar w:fldCharType="end"/>
      </w:r>
      <w:r w:rsidRPr="00694E52">
        <w:rPr>
          <w:rFonts w:ascii="Times New Roman" w:hAnsi="Times New Roman" w:cs="Times New Roman"/>
          <w:sz w:val="28"/>
          <w:szCs w:val="28"/>
          <w:lang w:val="uk-UA"/>
        </w:rPr>
        <w:t xml:space="preserve"> Ін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дивідуалізація лікування жінок репродуктивного та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пременопаузалыюго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віку з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гіперпластичними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процесами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ендометрія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/ В. О. Бенюк, В. М.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Здоровье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женщины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всеукраинский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научно-практический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журнал</w:t>
      </w:r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- 2014. - </w:t>
      </w:r>
      <w:r w:rsidRPr="00144EDE">
        <w:rPr>
          <w:rFonts w:ascii="Times New Roman" w:hAnsi="Times New Roman" w:cs="Times New Roman"/>
          <w:bCs/>
          <w:sz w:val="28"/>
          <w:szCs w:val="28"/>
        </w:rPr>
        <w:t>N</w:t>
      </w:r>
      <w:r w:rsidRPr="00144E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 - С. 125-129.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Буянова</w:t>
      </w:r>
      <w:proofErr w:type="spellEnd"/>
      <w:r w:rsidRPr="00144E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Н. </w:t>
      </w:r>
      <w:proofErr w:type="spellStart"/>
      <w:r w:rsidRPr="00144EDE">
        <w:rPr>
          <w:rFonts w:ascii="Times New Roman" w:hAnsi="Times New Roman" w:cs="Times New Roman"/>
          <w:bCs/>
          <w:sz w:val="28"/>
          <w:szCs w:val="28"/>
          <w:lang w:val="uk-UA"/>
        </w:rPr>
        <w:t>Оптимиза</w:t>
      </w:r>
      <w:r w:rsidRPr="00144EDE">
        <w:rPr>
          <w:rFonts w:ascii="Times New Roman" w:hAnsi="Times New Roman" w:cs="Times New Roman"/>
          <w:bCs/>
          <w:sz w:val="28"/>
          <w:szCs w:val="28"/>
        </w:rPr>
        <w:t>ция</w:t>
      </w:r>
      <w:proofErr w:type="spellEnd"/>
      <w:r w:rsidRPr="00144EDE">
        <w:rPr>
          <w:rFonts w:ascii="Times New Roman" w:hAnsi="Times New Roman" w:cs="Times New Roman"/>
          <w:bCs/>
          <w:sz w:val="28"/>
          <w:szCs w:val="28"/>
        </w:rPr>
        <w:t xml:space="preserve"> диагностики и</w:t>
      </w:r>
      <w:r w:rsidRPr="00144EDE">
        <w:rPr>
          <w:rFonts w:ascii="Times New Roman" w:hAnsi="Times New Roman" w:cs="Times New Roman"/>
          <w:sz w:val="28"/>
          <w:szCs w:val="28"/>
        </w:rPr>
        <w:t xml:space="preserve"> лечения у больных с </w:t>
      </w:r>
      <w:r w:rsidRPr="00144EDE">
        <w:rPr>
          <w:rFonts w:ascii="Times New Roman" w:hAnsi="Times New Roman" w:cs="Times New Roman"/>
          <w:bCs/>
          <w:sz w:val="28"/>
          <w:szCs w:val="28"/>
        </w:rPr>
        <w:t>гиперплази</w:t>
      </w:r>
      <w:r w:rsidRPr="00144EDE">
        <w:rPr>
          <w:rFonts w:ascii="Times New Roman" w:hAnsi="Times New Roman" w:cs="Times New Roman"/>
          <w:sz w:val="28"/>
          <w:szCs w:val="28"/>
        </w:rPr>
        <w:t xml:space="preserve">ей </w:t>
      </w:r>
      <w:r w:rsidRPr="00144EDE">
        <w:rPr>
          <w:rFonts w:ascii="Times New Roman" w:hAnsi="Times New Roman" w:cs="Times New Roman"/>
          <w:bCs/>
          <w:sz w:val="28"/>
          <w:szCs w:val="28"/>
        </w:rPr>
        <w:t>эндометри</w:t>
      </w:r>
      <w:r w:rsidRPr="00144EDE">
        <w:rPr>
          <w:rFonts w:ascii="Times New Roman" w:hAnsi="Times New Roman" w:cs="Times New Roman"/>
          <w:sz w:val="28"/>
          <w:szCs w:val="28"/>
        </w:rPr>
        <w:t xml:space="preserve">я в постменопаузе при сочетанной гинекологической патологии / С. Н.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// Рос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4E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>естн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. акушера-гинеколога : Научно-практический журнал. - 2013. - </w:t>
      </w:r>
      <w:r w:rsidRPr="00144EDE">
        <w:rPr>
          <w:rFonts w:ascii="Times New Roman" w:hAnsi="Times New Roman" w:cs="Times New Roman"/>
          <w:bCs/>
          <w:sz w:val="28"/>
          <w:szCs w:val="28"/>
        </w:rPr>
        <w:t>Т. 13</w:t>
      </w:r>
      <w:r w:rsidRPr="00144EDE">
        <w:rPr>
          <w:rFonts w:ascii="Times New Roman" w:hAnsi="Times New Roman" w:cs="Times New Roman"/>
          <w:sz w:val="28"/>
          <w:szCs w:val="28"/>
        </w:rPr>
        <w:t xml:space="preserve">, </w:t>
      </w:r>
      <w:r w:rsidRPr="00144EDE">
        <w:rPr>
          <w:rFonts w:ascii="Times New Roman" w:hAnsi="Times New Roman" w:cs="Times New Roman"/>
          <w:bCs/>
          <w:sz w:val="28"/>
          <w:szCs w:val="28"/>
        </w:rPr>
        <w:t>N 4</w:t>
      </w:r>
      <w:r w:rsidRPr="00144EDE">
        <w:rPr>
          <w:rFonts w:ascii="Times New Roman" w:hAnsi="Times New Roman" w:cs="Times New Roman"/>
          <w:sz w:val="28"/>
          <w:szCs w:val="28"/>
        </w:rPr>
        <w:t>. - С. 58-62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44EDE">
        <w:rPr>
          <w:rFonts w:ascii="Times New Roman" w:hAnsi="Times New Roman" w:cs="Times New Roman"/>
          <w:sz w:val="28"/>
          <w:szCs w:val="28"/>
        </w:rPr>
        <w:fldChar w:fldCharType="begin"/>
      </w:r>
      <w:r w:rsidRPr="00144EDE">
        <w:rPr>
          <w:rFonts w:ascii="Times New Roman" w:hAnsi="Times New Roman" w:cs="Times New Roman"/>
          <w:sz w:val="28"/>
          <w:szCs w:val="28"/>
        </w:rPr>
        <w:instrText xml:space="preserve"> HYPERLINK "http://library.zsmu.edu.ua/cgi/irbis64r_14/cgiirbis_64.exe?LNG=&amp;Z21ID=&amp;I21DBN=ZSMUL&amp;P21DBN=ZSMUL&amp;S21STN=1&amp;S21REF=1&amp;S21FMT=fullwebr&amp;C21COM=S&amp;S21CNR=20&amp;S21P01=0&amp;S21P02=1&amp;S21P03=A=&amp;S21STR=%D0%92%D0%B5%D0%BD%D0%B3%D1%80%D0%BE%D0%B2%D0%B0,%20%D0%9E.%20%D0%90." </w:instrText>
      </w:r>
      <w:r w:rsidRPr="00144EDE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144EDE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  <w:t>Венгрова</w:t>
      </w:r>
      <w:proofErr w:type="spellEnd"/>
      <w:r w:rsidRPr="00144EDE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О. А.</w:t>
      </w:r>
      <w:r w:rsidRPr="00144EDE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  <w:fldChar w:fldCharType="end"/>
      </w:r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гистероскопии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в диагностике </w:t>
      </w:r>
      <w:r w:rsidRPr="00144EDE">
        <w:rPr>
          <w:rFonts w:ascii="Times New Roman" w:hAnsi="Times New Roman" w:cs="Times New Roman"/>
          <w:bCs/>
          <w:sz w:val="28"/>
          <w:szCs w:val="28"/>
        </w:rPr>
        <w:t>гиперплази</w:t>
      </w:r>
      <w:r w:rsidRPr="00144EDE">
        <w:rPr>
          <w:rFonts w:ascii="Times New Roman" w:hAnsi="Times New Roman" w:cs="Times New Roman"/>
          <w:sz w:val="28"/>
          <w:szCs w:val="28"/>
        </w:rPr>
        <w:t xml:space="preserve">и </w:t>
      </w:r>
      <w:r w:rsidRPr="00144EDE">
        <w:rPr>
          <w:rFonts w:ascii="Times New Roman" w:hAnsi="Times New Roman" w:cs="Times New Roman"/>
          <w:bCs/>
          <w:sz w:val="28"/>
          <w:szCs w:val="28"/>
        </w:rPr>
        <w:t>эндометри</w:t>
      </w:r>
      <w:r w:rsidRPr="00144EDE">
        <w:rPr>
          <w:rFonts w:ascii="Times New Roman" w:hAnsi="Times New Roman" w:cs="Times New Roman"/>
          <w:sz w:val="28"/>
          <w:szCs w:val="28"/>
        </w:rPr>
        <w:t xml:space="preserve">я / О. А.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Венгрова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Актуал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фармац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>. і мед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ауки та практики :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журнал. - 2013. - </w:t>
      </w:r>
      <w:r w:rsidRPr="00144EDE">
        <w:rPr>
          <w:rFonts w:ascii="Times New Roman" w:hAnsi="Times New Roman" w:cs="Times New Roman"/>
          <w:bCs/>
          <w:sz w:val="28"/>
          <w:szCs w:val="28"/>
        </w:rPr>
        <w:t>N 2 (</w:t>
      </w:r>
      <w:proofErr w:type="spellStart"/>
      <w:r w:rsidRPr="00144EDE">
        <w:rPr>
          <w:rFonts w:ascii="Times New Roman" w:hAnsi="Times New Roman" w:cs="Times New Roman"/>
          <w:bCs/>
          <w:sz w:val="28"/>
          <w:szCs w:val="28"/>
        </w:rPr>
        <w:t>Додаток</w:t>
      </w:r>
      <w:proofErr w:type="spellEnd"/>
      <w:r w:rsidRPr="00144EDE">
        <w:rPr>
          <w:rFonts w:ascii="Times New Roman" w:hAnsi="Times New Roman" w:cs="Times New Roman"/>
          <w:bCs/>
          <w:sz w:val="28"/>
          <w:szCs w:val="28"/>
        </w:rPr>
        <w:t>)</w:t>
      </w:r>
      <w:r w:rsidRPr="00144EDE">
        <w:rPr>
          <w:rFonts w:ascii="Times New Roman" w:hAnsi="Times New Roman" w:cs="Times New Roman"/>
          <w:sz w:val="28"/>
          <w:szCs w:val="28"/>
        </w:rPr>
        <w:t>. - С. 64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Веропотвелян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П. Н. </w:t>
      </w:r>
      <w:r w:rsidRPr="00144EDE">
        <w:rPr>
          <w:rFonts w:ascii="Times New Roman" w:hAnsi="Times New Roman" w:cs="Times New Roman"/>
          <w:bCs/>
          <w:sz w:val="28"/>
          <w:szCs w:val="28"/>
        </w:rPr>
        <w:t>Гиперплазия эндометрия -</w:t>
      </w:r>
      <w:r w:rsidRPr="00144EDE">
        <w:rPr>
          <w:rFonts w:ascii="Times New Roman" w:hAnsi="Times New Roman" w:cs="Times New Roman"/>
          <w:sz w:val="28"/>
          <w:szCs w:val="28"/>
        </w:rPr>
        <w:t xml:space="preserve"> современный взгляд на проблему / П. Н.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Веропотвелян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 // Мед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спекты здоровья женщины. - 2013. - </w:t>
      </w:r>
      <w:r w:rsidRPr="00144EDE">
        <w:rPr>
          <w:rFonts w:ascii="Times New Roman" w:hAnsi="Times New Roman" w:cs="Times New Roman"/>
          <w:bCs/>
          <w:sz w:val="28"/>
          <w:szCs w:val="28"/>
        </w:rPr>
        <w:t>N 10</w:t>
      </w:r>
      <w:r w:rsidRPr="00144EDE">
        <w:rPr>
          <w:rFonts w:ascii="Times New Roman" w:hAnsi="Times New Roman" w:cs="Times New Roman"/>
          <w:sz w:val="28"/>
          <w:szCs w:val="28"/>
        </w:rPr>
        <w:t>. - С. 33-40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Карелина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А. А. 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Психологические тесты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/ А. А.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Карелина</w:t>
      </w:r>
      <w:proofErr w:type="spellEnd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-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2003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.-№1.-С.</w:t>
      </w:r>
      <w:r w:rsidRPr="00144EDE">
        <w:rPr>
          <w:rFonts w:ascii="Times New Roman" w:hAnsi="Times New Roman" w:cs="Times New Roman"/>
          <w:sz w:val="28"/>
          <w:szCs w:val="28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214-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248.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Унанян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А. Л. </w:t>
      </w:r>
      <w:r w:rsidRPr="00144EDE">
        <w:rPr>
          <w:rFonts w:ascii="Times New Roman" w:hAnsi="Times New Roman" w:cs="Times New Roman"/>
          <w:bCs/>
          <w:sz w:val="28"/>
          <w:szCs w:val="28"/>
        </w:rPr>
        <w:t>Гиперпластические процессы эндометрия:</w:t>
      </w:r>
      <w:r w:rsidRPr="00144EDE">
        <w:rPr>
          <w:rFonts w:ascii="Times New Roman" w:hAnsi="Times New Roman" w:cs="Times New Roman"/>
          <w:sz w:val="28"/>
          <w:szCs w:val="28"/>
        </w:rPr>
        <w:t xml:space="preserve"> вопросы патогенетической терапии / А. Л.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Унанян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</w:rPr>
        <w:t>// Гинекология</w:t>
      </w:r>
      <w:proofErr w:type="gramStart"/>
      <w:r w:rsidRPr="00144E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4EDE">
        <w:rPr>
          <w:rFonts w:ascii="Times New Roman" w:hAnsi="Times New Roman" w:cs="Times New Roman"/>
          <w:sz w:val="28"/>
          <w:szCs w:val="28"/>
        </w:rPr>
        <w:t xml:space="preserve"> журн. для </w:t>
      </w:r>
      <w:proofErr w:type="spellStart"/>
      <w:r w:rsidRPr="00144EDE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144EDE">
        <w:rPr>
          <w:rFonts w:ascii="Times New Roman" w:hAnsi="Times New Roman" w:cs="Times New Roman"/>
          <w:sz w:val="28"/>
          <w:szCs w:val="28"/>
        </w:rPr>
        <w:t xml:space="preserve">. врачей. - 2013. - </w:t>
      </w:r>
      <w:r w:rsidRPr="00144EDE">
        <w:rPr>
          <w:rFonts w:ascii="Times New Roman" w:hAnsi="Times New Roman" w:cs="Times New Roman"/>
          <w:bCs/>
          <w:sz w:val="28"/>
          <w:szCs w:val="28"/>
        </w:rPr>
        <w:t>Т. 15</w:t>
      </w:r>
      <w:r w:rsidRPr="00144EDE">
        <w:rPr>
          <w:rFonts w:ascii="Times New Roman" w:hAnsi="Times New Roman" w:cs="Times New Roman"/>
          <w:sz w:val="28"/>
          <w:szCs w:val="28"/>
        </w:rPr>
        <w:t xml:space="preserve">, </w:t>
      </w:r>
      <w:r w:rsidRPr="00144EDE">
        <w:rPr>
          <w:rFonts w:ascii="Times New Roman" w:hAnsi="Times New Roman" w:cs="Times New Roman"/>
          <w:bCs/>
          <w:sz w:val="28"/>
          <w:szCs w:val="28"/>
        </w:rPr>
        <w:t>N 5</w:t>
      </w:r>
      <w:r w:rsidRPr="00144EDE">
        <w:rPr>
          <w:rFonts w:ascii="Times New Roman" w:hAnsi="Times New Roman" w:cs="Times New Roman"/>
          <w:sz w:val="28"/>
          <w:szCs w:val="28"/>
        </w:rPr>
        <w:t>. - С. 32-35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44ED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7. </w:t>
      </w:r>
      <w:proofErr w:type="spellStart"/>
      <w:r w:rsidRPr="00144E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Райгородский</w:t>
      </w:r>
      <w:proofErr w:type="spellEnd"/>
      <w:r w:rsidRPr="00144E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Д. Я.</w:t>
      </w:r>
      <w:r w:rsidRPr="00144E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 психодиагностика.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 Д. Я.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Райгородский</w:t>
      </w:r>
      <w:proofErr w:type="spellEnd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Методики и тесты. Издательство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</w:rPr>
        <w:t>Бахрах</w:t>
      </w:r>
      <w:proofErr w:type="spellEnd"/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2006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.- №1.- С.652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—67</w:t>
      </w:r>
      <w:r w:rsidRPr="00144E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8.</w:t>
      </w:r>
    </w:p>
    <w:p w:rsidR="00694E52" w:rsidRPr="00144EDE" w:rsidRDefault="00694E52" w:rsidP="00694E52">
      <w:pPr>
        <w:pStyle w:val="a4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144EDE">
        <w:rPr>
          <w:sz w:val="28"/>
          <w:szCs w:val="28"/>
          <w:shd w:val="clear" w:color="auto" w:fill="FFFFFF"/>
          <w:lang w:val="uk-UA"/>
        </w:rPr>
        <w:t xml:space="preserve">8. </w:t>
      </w:r>
      <w:proofErr w:type="spellStart"/>
      <w:r w:rsidRPr="00144EDE">
        <w:rPr>
          <w:sz w:val="28"/>
          <w:szCs w:val="28"/>
          <w:lang w:val="en-US"/>
        </w:rPr>
        <w:t>Kicik</w:t>
      </w:r>
      <w:proofErr w:type="spellEnd"/>
      <w:r w:rsidRPr="00144EDE">
        <w:rPr>
          <w:sz w:val="28"/>
          <w:szCs w:val="28"/>
          <w:lang w:val="en-US"/>
        </w:rPr>
        <w:t xml:space="preserve">, T. </w:t>
      </w:r>
      <w:proofErr w:type="spellStart"/>
      <w:r w:rsidRPr="00144EDE">
        <w:rPr>
          <w:sz w:val="28"/>
          <w:szCs w:val="28"/>
          <w:lang w:val="en-US"/>
        </w:rPr>
        <w:t>Chromohysteroscopy</w:t>
      </w:r>
      <w:proofErr w:type="spellEnd"/>
      <w:r w:rsidRPr="00144EDE">
        <w:rPr>
          <w:sz w:val="28"/>
          <w:szCs w:val="28"/>
          <w:lang w:val="en-US"/>
        </w:rPr>
        <w:t xml:space="preserve"> for evaluation of endometrium in recurrent in vitro fertilization failure / </w:t>
      </w:r>
      <w:proofErr w:type="spellStart"/>
      <w:r w:rsidRPr="00144EDE">
        <w:rPr>
          <w:sz w:val="28"/>
          <w:szCs w:val="28"/>
          <w:lang w:val="en-US"/>
        </w:rPr>
        <w:t>Tansu</w:t>
      </w:r>
      <w:proofErr w:type="spellEnd"/>
      <w:r w:rsidRPr="00144EDE">
        <w:rPr>
          <w:sz w:val="28"/>
          <w:szCs w:val="28"/>
          <w:lang w:val="en-US"/>
        </w:rPr>
        <w:t xml:space="preserve"> </w:t>
      </w:r>
      <w:proofErr w:type="spellStart"/>
      <w:r w:rsidRPr="00144EDE">
        <w:rPr>
          <w:sz w:val="28"/>
          <w:szCs w:val="28"/>
          <w:lang w:val="en-US"/>
        </w:rPr>
        <w:t>Kucik</w:t>
      </w:r>
      <w:proofErr w:type="spellEnd"/>
      <w:r w:rsidRPr="00144EDE">
        <w:rPr>
          <w:sz w:val="28"/>
          <w:szCs w:val="28"/>
          <w:lang w:val="en-US"/>
        </w:rPr>
        <w:t xml:space="preserve">, </w:t>
      </w:r>
      <w:proofErr w:type="spellStart"/>
      <w:r w:rsidRPr="00144EDE">
        <w:rPr>
          <w:sz w:val="28"/>
          <w:szCs w:val="28"/>
          <w:lang w:val="en-US"/>
        </w:rPr>
        <w:t>Mukerrem</w:t>
      </w:r>
      <w:proofErr w:type="spellEnd"/>
      <w:r w:rsidRPr="00144EDE">
        <w:rPr>
          <w:sz w:val="28"/>
          <w:szCs w:val="28"/>
          <w:lang w:val="en-US"/>
        </w:rPr>
        <w:t xml:space="preserve"> Safari // J. Assist </w:t>
      </w:r>
      <w:proofErr w:type="spellStart"/>
      <w:r w:rsidRPr="00144EDE">
        <w:rPr>
          <w:sz w:val="28"/>
          <w:szCs w:val="28"/>
          <w:lang w:val="en-US"/>
        </w:rPr>
        <w:t>Reprod</w:t>
      </w:r>
      <w:proofErr w:type="spellEnd"/>
      <w:r w:rsidRPr="00144EDE">
        <w:rPr>
          <w:sz w:val="28"/>
          <w:szCs w:val="28"/>
          <w:lang w:val="en-US"/>
        </w:rPr>
        <w:t xml:space="preserve">. </w:t>
      </w:r>
      <w:proofErr w:type="gramStart"/>
      <w:r w:rsidRPr="00144EDE">
        <w:rPr>
          <w:sz w:val="28"/>
          <w:szCs w:val="28"/>
          <w:lang w:val="en-US"/>
        </w:rPr>
        <w:t>Genet.</w:t>
      </w:r>
      <w:proofErr w:type="gramEnd"/>
      <w:r w:rsidRPr="00144EDE">
        <w:rPr>
          <w:sz w:val="28"/>
          <w:szCs w:val="28"/>
          <w:lang w:val="en-US"/>
        </w:rPr>
        <w:t xml:space="preserve"> 2008. - № 25. - P. 79-82.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Beniuk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V. O. </w:t>
      </w:r>
      <w:r w:rsidRPr="00201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&amp;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Honcharenko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V. M. (2014). 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Indyvidualizatsiia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likuvannia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zhinok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reproduktyvnoho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premenopauzalыiuho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viku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z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hiperplastychnymy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protsesamy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endometriia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Indyvidualizatsiia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likuvannia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zhinok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reproduktivnoho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premenopauzalyiuho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viku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hiperplastychnymy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procesesamy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endometrii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Zdorove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zhenshchynы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vseukraynskyi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nauchno-praktycheskyi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zhurnal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Women's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health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an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all-Ukrainian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practical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 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125-129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[In Ukraine].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Buianova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S. N.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(2013).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Optymyzatsyia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dyahnostyky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y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lechenyia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bolnыkh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s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hyperplazyei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эndometryia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postmenopauze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sochetannoi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hynekolohycheskoi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patolohyy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Optimization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diagnosis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treatment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patients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endometrial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hyperplasia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postmenopause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combined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gynecological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pathology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Rossyiskyi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vestnyk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akushera-hynekoloha : Nauchno-praktycheskyi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zhurnal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Russian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Obstetrician-Gynecologist: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Practical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58-62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[In Russian]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Venhrova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O. A. (2013).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Rol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hysteroskopyy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dyahnostyke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hyperplazyy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эndometryia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[The role of hysteroscopy in the diagnosis of endometrial hyperplasia].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Aktualni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pytannia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farmatsii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medychnoi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nauky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ta </w:t>
      </w:r>
      <w:proofErr w:type="spellStart"/>
      <w:proofErr w:type="gram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praktyky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:</w:t>
      </w:r>
      <w:proofErr w:type="gram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naukovo-praktychnyi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zhurnal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Actual questions of pharmacy and medical science and practice: scientific and practical journal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Russian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Veropotvelian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P. N.,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Guzhevskaya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Veropotvelyan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en-US"/>
        </w:rPr>
        <w:t>Zhabitskaya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. (2013).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Hyperplazyia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эndometryia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sovremennыi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vzghliad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problemu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[Hyperplasia of the endometrium - a modern view of the problem]. </w:t>
      </w:r>
      <w:proofErr w:type="spellStart"/>
      <w:proofErr w:type="gram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Medytsynskye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aspektы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zdorovia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>zhenshchynы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Medical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aspects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women's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health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10 (74),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33-40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Russian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Karelyna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A. A. </w:t>
      </w:r>
      <w:proofErr w:type="gramStart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(2003).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Psykholohycheskye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testы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[Psychological tests].</w:t>
      </w:r>
      <w:proofErr w:type="gram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44EDE">
        <w:rPr>
          <w:rFonts w:ascii="Times New Roman" w:hAnsi="Times New Roman" w:cs="Times New Roman"/>
          <w:sz w:val="28"/>
          <w:szCs w:val="28"/>
          <w:lang w:val="en-US"/>
        </w:rPr>
        <w:t>VLADOS, 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214-248 [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].</w:t>
      </w:r>
      <w:proofErr w:type="gramEnd"/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Unanian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A. L. (2013).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Hyperplastycheskye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protsessы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эndometryia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voprosы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patohenetycheskoi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terapyy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Hyperplastic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questions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pathogenetic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therapy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Hynekolohyia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zhurnal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dlia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praktychnыkh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vrachei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Gynecology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a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for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practicing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doctors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, 15 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32-35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Russian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Raihorodskyi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D.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Ya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Praktycheskaia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psykhodyahnostyka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psychodiagnostics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Metodyky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y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testы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Yzdatelstvo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Bakhrakh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Methods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tests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Publishing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house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Bakhrakh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 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652—678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14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Russian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E52" w:rsidRPr="00144EDE" w:rsidRDefault="00694E52" w:rsidP="00694E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Kicik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>, T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01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&amp;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Safari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M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44EDE">
        <w:rPr>
          <w:rFonts w:ascii="Times New Roman" w:hAnsi="Times New Roman" w:cs="Times New Roman"/>
          <w:sz w:val="28"/>
          <w:szCs w:val="28"/>
          <w:lang w:val="en-US"/>
        </w:rPr>
        <w:t>(2008).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Chromohysteroscopy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evaluation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endometrium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recurrent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vitro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fertilization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sz w:val="28"/>
          <w:szCs w:val="28"/>
          <w:lang w:val="uk-UA"/>
        </w:rPr>
        <w:t>failure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44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J.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Assist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Reprod</w:t>
      </w:r>
      <w:proofErr w:type="spellEnd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44EDE">
        <w:rPr>
          <w:rFonts w:ascii="Times New Roman" w:hAnsi="Times New Roman" w:cs="Times New Roman"/>
          <w:i/>
          <w:sz w:val="28"/>
          <w:szCs w:val="28"/>
          <w:lang w:val="uk-UA"/>
        </w:rPr>
        <w:t>Genet</w:t>
      </w:r>
      <w:proofErr w:type="spellEnd"/>
      <w:r w:rsidRPr="00144EDE">
        <w:rPr>
          <w:rFonts w:ascii="Times New Roman" w:hAnsi="Times New Roman" w:cs="Times New Roman"/>
          <w:sz w:val="28"/>
          <w:szCs w:val="28"/>
          <w:lang w:val="en-US"/>
        </w:rPr>
        <w:t>, (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44ED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144EDE">
        <w:rPr>
          <w:rFonts w:ascii="Times New Roman" w:hAnsi="Times New Roman" w:cs="Times New Roman"/>
          <w:sz w:val="28"/>
          <w:szCs w:val="28"/>
          <w:lang w:val="uk-UA"/>
        </w:rPr>
        <w:t>79-82.</w:t>
      </w:r>
    </w:p>
    <w:p w:rsidR="00896761" w:rsidRPr="00856B21" w:rsidRDefault="00896761" w:rsidP="00694E5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896761" w:rsidRPr="00856B21" w:rsidSect="005D52F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7DD2"/>
    <w:multiLevelType w:val="hybridMultilevel"/>
    <w:tmpl w:val="6C2C726C"/>
    <w:lvl w:ilvl="0" w:tplc="C614A0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6AF0"/>
    <w:multiLevelType w:val="hybridMultilevel"/>
    <w:tmpl w:val="2F320098"/>
    <w:lvl w:ilvl="0" w:tplc="188C3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DC"/>
    <w:rsid w:val="0001182F"/>
    <w:rsid w:val="000B02EF"/>
    <w:rsid w:val="000B1B6C"/>
    <w:rsid w:val="000B24DC"/>
    <w:rsid w:val="00102147"/>
    <w:rsid w:val="00185AEE"/>
    <w:rsid w:val="0019558E"/>
    <w:rsid w:val="001A30B4"/>
    <w:rsid w:val="001C0A3F"/>
    <w:rsid w:val="001E3A25"/>
    <w:rsid w:val="001F4FFA"/>
    <w:rsid w:val="00214880"/>
    <w:rsid w:val="00232985"/>
    <w:rsid w:val="002555C6"/>
    <w:rsid w:val="00276EED"/>
    <w:rsid w:val="002945C3"/>
    <w:rsid w:val="002A741D"/>
    <w:rsid w:val="002B11C3"/>
    <w:rsid w:val="002E1FA3"/>
    <w:rsid w:val="003458E5"/>
    <w:rsid w:val="003C345E"/>
    <w:rsid w:val="003D350E"/>
    <w:rsid w:val="00450BDE"/>
    <w:rsid w:val="00476A8D"/>
    <w:rsid w:val="00486608"/>
    <w:rsid w:val="00487E88"/>
    <w:rsid w:val="005334BE"/>
    <w:rsid w:val="00555861"/>
    <w:rsid w:val="00563D8A"/>
    <w:rsid w:val="005A0F12"/>
    <w:rsid w:val="005D52F1"/>
    <w:rsid w:val="00621C06"/>
    <w:rsid w:val="00694E52"/>
    <w:rsid w:val="006B3C87"/>
    <w:rsid w:val="006E71A8"/>
    <w:rsid w:val="00704898"/>
    <w:rsid w:val="00753C3C"/>
    <w:rsid w:val="007C26E3"/>
    <w:rsid w:val="008157A0"/>
    <w:rsid w:val="00856B21"/>
    <w:rsid w:val="00863A7F"/>
    <w:rsid w:val="00896761"/>
    <w:rsid w:val="008C0C66"/>
    <w:rsid w:val="008D6ABA"/>
    <w:rsid w:val="00925C85"/>
    <w:rsid w:val="009868C1"/>
    <w:rsid w:val="009B43B7"/>
    <w:rsid w:val="009C1026"/>
    <w:rsid w:val="009C1449"/>
    <w:rsid w:val="009E7BDA"/>
    <w:rsid w:val="00A000CA"/>
    <w:rsid w:val="00A07F2A"/>
    <w:rsid w:val="00A45F61"/>
    <w:rsid w:val="00A757C1"/>
    <w:rsid w:val="00A84884"/>
    <w:rsid w:val="00A86B60"/>
    <w:rsid w:val="00BB0519"/>
    <w:rsid w:val="00C0641F"/>
    <w:rsid w:val="00CB5242"/>
    <w:rsid w:val="00CE7532"/>
    <w:rsid w:val="00CF775C"/>
    <w:rsid w:val="00DA36CA"/>
    <w:rsid w:val="00DC3D78"/>
    <w:rsid w:val="00DF2280"/>
    <w:rsid w:val="00E12BA1"/>
    <w:rsid w:val="00E34119"/>
    <w:rsid w:val="00EB26D2"/>
    <w:rsid w:val="00ED5F5F"/>
    <w:rsid w:val="00EE01D6"/>
    <w:rsid w:val="00EE45DE"/>
    <w:rsid w:val="00F120F1"/>
    <w:rsid w:val="00F401BD"/>
    <w:rsid w:val="00F533C4"/>
    <w:rsid w:val="00F61C06"/>
    <w:rsid w:val="00FB2742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24DC"/>
  </w:style>
  <w:style w:type="character" w:customStyle="1" w:styleId="reference-text">
    <w:name w:val="reference-text"/>
    <w:basedOn w:val="a0"/>
    <w:rsid w:val="000B24DC"/>
  </w:style>
  <w:style w:type="paragraph" w:styleId="a4">
    <w:name w:val="Normal (Web)"/>
    <w:basedOn w:val="a"/>
    <w:uiPriority w:val="99"/>
    <w:unhideWhenUsed/>
    <w:rsid w:val="000B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00C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A3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24DC"/>
  </w:style>
  <w:style w:type="character" w:customStyle="1" w:styleId="reference-text">
    <w:name w:val="reference-text"/>
    <w:basedOn w:val="a0"/>
    <w:rsid w:val="000B24DC"/>
  </w:style>
  <w:style w:type="paragraph" w:styleId="a4">
    <w:name w:val="Normal (Web)"/>
    <w:basedOn w:val="a"/>
    <w:uiPriority w:val="99"/>
    <w:unhideWhenUsed/>
    <w:rsid w:val="000B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00C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A3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Б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0.11</c:v>
                </c:pt>
                <c:pt idx="1">
                  <c:v>-0.24</c:v>
                </c:pt>
                <c:pt idx="2">
                  <c:v>0.17</c:v>
                </c:pt>
                <c:pt idx="3">
                  <c:v>-0.21</c:v>
                </c:pt>
                <c:pt idx="4">
                  <c:v>0.2</c:v>
                </c:pt>
                <c:pt idx="5">
                  <c:v>-0.1</c:v>
                </c:pt>
                <c:pt idx="6">
                  <c:v>-0.19</c:v>
                </c:pt>
                <c:pt idx="7">
                  <c:v>0.1</c:v>
                </c:pt>
                <c:pt idx="8">
                  <c:v>0.15</c:v>
                </c:pt>
                <c:pt idx="9">
                  <c:v>0.12</c:v>
                </c:pt>
                <c:pt idx="10">
                  <c:v>-0.11</c:v>
                </c:pt>
                <c:pt idx="11">
                  <c:v>0.1</c:v>
                </c:pt>
                <c:pt idx="12">
                  <c:v>0.2</c:v>
                </c:pt>
                <c:pt idx="13">
                  <c:v>0.24</c:v>
                </c:pt>
                <c:pt idx="14">
                  <c:v>0.18</c:v>
                </c:pt>
                <c:pt idx="15">
                  <c:v>0.2</c:v>
                </c:pt>
                <c:pt idx="16">
                  <c:v>0.12</c:v>
                </c:pt>
                <c:pt idx="17">
                  <c:v>0.34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А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-0.1</c:v>
                </c:pt>
                <c:pt idx="1">
                  <c:v>0.2</c:v>
                </c:pt>
                <c:pt idx="2">
                  <c:v>0.15</c:v>
                </c:pt>
                <c:pt idx="3">
                  <c:v>-0.1</c:v>
                </c:pt>
                <c:pt idx="4">
                  <c:v>0.2</c:v>
                </c:pt>
                <c:pt idx="5">
                  <c:v>0.17</c:v>
                </c:pt>
                <c:pt idx="6">
                  <c:v>0.36</c:v>
                </c:pt>
                <c:pt idx="7">
                  <c:v>0.34</c:v>
                </c:pt>
                <c:pt idx="8">
                  <c:v>0.15</c:v>
                </c:pt>
                <c:pt idx="9">
                  <c:v>0.1</c:v>
                </c:pt>
                <c:pt idx="10">
                  <c:v>-0.2</c:v>
                </c:pt>
                <c:pt idx="11">
                  <c:v>-0.1</c:v>
                </c:pt>
                <c:pt idx="12">
                  <c:v>0.15</c:v>
                </c:pt>
                <c:pt idx="13">
                  <c:v>0.12</c:v>
                </c:pt>
                <c:pt idx="14">
                  <c:v>0.1</c:v>
                </c:pt>
                <c:pt idx="15">
                  <c:v>0.1</c:v>
                </c:pt>
                <c:pt idx="16">
                  <c:v>-0.1</c:v>
                </c:pt>
                <c:pt idx="17">
                  <c:v>0.1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 Б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 formatCode="0.00">
                  <c:v>0.1</c:v>
                </c:pt>
                <c:pt idx="1">
                  <c:v>0</c:v>
                </c:pt>
                <c:pt idx="2">
                  <c:v>-0.12</c:v>
                </c:pt>
                <c:pt idx="3">
                  <c:v>-0.13</c:v>
                </c:pt>
                <c:pt idx="4">
                  <c:v>-0.27</c:v>
                </c:pt>
                <c:pt idx="5">
                  <c:v>-0.22</c:v>
                </c:pt>
                <c:pt idx="6">
                  <c:v>-0.2</c:v>
                </c:pt>
                <c:pt idx="7">
                  <c:v>-0.08</c:v>
                </c:pt>
                <c:pt idx="8">
                  <c:v>-0.21</c:v>
                </c:pt>
                <c:pt idx="9">
                  <c:v>0.27</c:v>
                </c:pt>
                <c:pt idx="10">
                  <c:v>0.23</c:v>
                </c:pt>
                <c:pt idx="11">
                  <c:v>0.2</c:v>
                </c:pt>
                <c:pt idx="12">
                  <c:v>0.31</c:v>
                </c:pt>
                <c:pt idx="13">
                  <c:v>0.23</c:v>
                </c:pt>
                <c:pt idx="14">
                  <c:v>0.12</c:v>
                </c:pt>
                <c:pt idx="15">
                  <c:v>0.23</c:v>
                </c:pt>
                <c:pt idx="16">
                  <c:v>0.24</c:v>
                </c:pt>
                <c:pt idx="17">
                  <c:v>0.26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ІІ А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Лист1!$E$2:$E$19</c:f>
              <c:numCache>
                <c:formatCode>General</c:formatCode>
                <c:ptCount val="18"/>
                <c:pt idx="0">
                  <c:v>0</c:v>
                </c:pt>
                <c:pt idx="1">
                  <c:v>0.08</c:v>
                </c:pt>
                <c:pt idx="2">
                  <c:v>-0.1</c:v>
                </c:pt>
                <c:pt idx="3">
                  <c:v>-0.14000000000000001</c:v>
                </c:pt>
                <c:pt idx="4">
                  <c:v>-0.28000000000000003</c:v>
                </c:pt>
                <c:pt idx="5">
                  <c:v>-0.24</c:v>
                </c:pt>
                <c:pt idx="6">
                  <c:v>-0.18</c:v>
                </c:pt>
                <c:pt idx="7">
                  <c:v>-0.08</c:v>
                </c:pt>
                <c:pt idx="8">
                  <c:v>-0.18</c:v>
                </c:pt>
                <c:pt idx="9">
                  <c:v>0.38</c:v>
                </c:pt>
                <c:pt idx="10">
                  <c:v>0.24</c:v>
                </c:pt>
                <c:pt idx="11">
                  <c:v>0.21</c:v>
                </c:pt>
                <c:pt idx="12">
                  <c:v>0.21</c:v>
                </c:pt>
                <c:pt idx="13">
                  <c:v>0.33</c:v>
                </c:pt>
                <c:pt idx="14">
                  <c:v>0.16</c:v>
                </c:pt>
                <c:pt idx="15">
                  <c:v>0.24</c:v>
                </c:pt>
                <c:pt idx="16">
                  <c:v>0.26</c:v>
                </c:pt>
                <c:pt idx="17">
                  <c:v>0.24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75072"/>
        <c:axId val="130676608"/>
      </c:lineChart>
      <c:catAx>
        <c:axId val="130675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0676608"/>
        <c:crosses val="autoZero"/>
        <c:auto val="1"/>
        <c:lblAlgn val="ctr"/>
        <c:lblOffset val="100"/>
        <c:noMultiLvlLbl val="0"/>
      </c:catAx>
      <c:valAx>
        <c:axId val="1306766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30675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Б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0.1</c:v>
                </c:pt>
                <c:pt idx="1">
                  <c:v>-0.11</c:v>
                </c:pt>
                <c:pt idx="2">
                  <c:v>0.25</c:v>
                </c:pt>
                <c:pt idx="3">
                  <c:v>-0.13</c:v>
                </c:pt>
                <c:pt idx="4">
                  <c:v>0.2</c:v>
                </c:pt>
                <c:pt idx="5">
                  <c:v>-0.16</c:v>
                </c:pt>
                <c:pt idx="6">
                  <c:v>-0.2</c:v>
                </c:pt>
                <c:pt idx="7">
                  <c:v>0.05</c:v>
                </c:pt>
                <c:pt idx="8">
                  <c:v>0.15</c:v>
                </c:pt>
                <c:pt idx="9">
                  <c:v>0.05</c:v>
                </c:pt>
                <c:pt idx="10">
                  <c:v>-0.1</c:v>
                </c:pt>
                <c:pt idx="11">
                  <c:v>0.1</c:v>
                </c:pt>
                <c:pt idx="12">
                  <c:v>0.2</c:v>
                </c:pt>
                <c:pt idx="13">
                  <c:v>0.13</c:v>
                </c:pt>
                <c:pt idx="14">
                  <c:v>0.15</c:v>
                </c:pt>
                <c:pt idx="15">
                  <c:v>0.2</c:v>
                </c:pt>
                <c:pt idx="16">
                  <c:v>0.1</c:v>
                </c:pt>
                <c:pt idx="17">
                  <c:v>0.28999999999999998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А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0.1</c:v>
                </c:pt>
                <c:pt idx="1">
                  <c:v>0</c:v>
                </c:pt>
                <c:pt idx="2">
                  <c:v>-0.12</c:v>
                </c:pt>
                <c:pt idx="3">
                  <c:v>-0.13</c:v>
                </c:pt>
                <c:pt idx="4">
                  <c:v>-0.27</c:v>
                </c:pt>
                <c:pt idx="5">
                  <c:v>-0.36</c:v>
                </c:pt>
                <c:pt idx="6">
                  <c:v>-0.2</c:v>
                </c:pt>
                <c:pt idx="7">
                  <c:v>-0.08</c:v>
                </c:pt>
                <c:pt idx="8">
                  <c:v>-0.21</c:v>
                </c:pt>
                <c:pt idx="9">
                  <c:v>0.27</c:v>
                </c:pt>
                <c:pt idx="10">
                  <c:v>0.23</c:v>
                </c:pt>
                <c:pt idx="11">
                  <c:v>0.32</c:v>
                </c:pt>
                <c:pt idx="12">
                  <c:v>0.31</c:v>
                </c:pt>
                <c:pt idx="13">
                  <c:v>0.23</c:v>
                </c:pt>
                <c:pt idx="14">
                  <c:v>0.12</c:v>
                </c:pt>
                <c:pt idx="15">
                  <c:v>0.23</c:v>
                </c:pt>
                <c:pt idx="16">
                  <c:v>0.24</c:v>
                </c:pt>
                <c:pt idx="17">
                  <c:v>0.26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 Б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 formatCode="0.00">
                  <c:v>0.1</c:v>
                </c:pt>
                <c:pt idx="1">
                  <c:v>0</c:v>
                </c:pt>
                <c:pt idx="2">
                  <c:v>-0.12</c:v>
                </c:pt>
                <c:pt idx="3">
                  <c:v>-0.13</c:v>
                </c:pt>
                <c:pt idx="4">
                  <c:v>-0.27</c:v>
                </c:pt>
                <c:pt idx="5">
                  <c:v>-0.36</c:v>
                </c:pt>
                <c:pt idx="6">
                  <c:v>-0.2</c:v>
                </c:pt>
                <c:pt idx="7">
                  <c:v>-0.08</c:v>
                </c:pt>
                <c:pt idx="8">
                  <c:v>-0.21</c:v>
                </c:pt>
                <c:pt idx="9">
                  <c:v>0.27</c:v>
                </c:pt>
                <c:pt idx="10">
                  <c:v>0.23</c:v>
                </c:pt>
                <c:pt idx="11">
                  <c:v>0.32</c:v>
                </c:pt>
                <c:pt idx="12">
                  <c:v>0.31</c:v>
                </c:pt>
                <c:pt idx="13">
                  <c:v>0.23</c:v>
                </c:pt>
                <c:pt idx="14">
                  <c:v>0.12</c:v>
                </c:pt>
                <c:pt idx="15">
                  <c:v>0.23</c:v>
                </c:pt>
                <c:pt idx="16">
                  <c:v>0.24</c:v>
                </c:pt>
                <c:pt idx="17">
                  <c:v>0.26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ІІ А</c:v>
                </c:pt>
              </c:strCache>
            </c:strRef>
          </c:tx>
          <c:cat>
            <c:strRef>
              <c:f>Лист1!$A$2:$A$19</c:f>
              <c:strCache>
                <c:ptCount val="18"/>
                <c:pt idx="0">
                  <c:v>ПН1</c:v>
                </c:pt>
                <c:pt idx="1">
                  <c:v>ПН2</c:v>
                </c:pt>
                <c:pt idx="2">
                  <c:v>ПН3</c:v>
                </c:pt>
                <c:pt idx="3">
                  <c:v>ІО1</c:v>
                </c:pt>
                <c:pt idx="4">
                  <c:v>ІО2</c:v>
                </c:pt>
                <c:pt idx="5">
                  <c:v>ІО3</c:v>
                </c:pt>
                <c:pt idx="6">
                  <c:v>ІО4</c:v>
                </c:pt>
                <c:pt idx="7">
                  <c:v>ЗП1</c:v>
                </c:pt>
                <c:pt idx="8">
                  <c:v>ЗП2</c:v>
                </c:pt>
                <c:pt idx="9">
                  <c:v>К1</c:v>
                </c:pt>
                <c:pt idx="10">
                  <c:v>К4</c:v>
                </c:pt>
                <c:pt idx="11">
                  <c:v>С1</c:v>
                </c:pt>
                <c:pt idx="12">
                  <c:v>С2</c:v>
                </c:pt>
                <c:pt idx="13">
                  <c:v>С4</c:v>
                </c:pt>
                <c:pt idx="14">
                  <c:v>С5</c:v>
                </c:pt>
                <c:pt idx="15">
                  <c:v>СТ1</c:v>
                </c:pt>
                <c:pt idx="16">
                  <c:v>СТ2</c:v>
                </c:pt>
                <c:pt idx="17">
                  <c:v>СТ3</c:v>
                </c:pt>
              </c:strCache>
            </c:strRef>
          </c:cat>
          <c:val>
            <c:numRef>
              <c:f>Лист1!$E$2:$E$19</c:f>
              <c:numCache>
                <c:formatCode>General</c:formatCode>
                <c:ptCount val="18"/>
                <c:pt idx="0">
                  <c:v>0</c:v>
                </c:pt>
                <c:pt idx="1">
                  <c:v>0.08</c:v>
                </c:pt>
                <c:pt idx="2">
                  <c:v>-0.1</c:v>
                </c:pt>
                <c:pt idx="3">
                  <c:v>-0.4</c:v>
                </c:pt>
                <c:pt idx="4">
                  <c:v>-0.28000000000000003</c:v>
                </c:pt>
                <c:pt idx="5">
                  <c:v>-0.24</c:v>
                </c:pt>
                <c:pt idx="6">
                  <c:v>-0.18</c:v>
                </c:pt>
                <c:pt idx="7">
                  <c:v>-0.08</c:v>
                </c:pt>
                <c:pt idx="8">
                  <c:v>-0.18</c:v>
                </c:pt>
                <c:pt idx="9">
                  <c:v>0.38</c:v>
                </c:pt>
                <c:pt idx="10">
                  <c:v>0.36</c:v>
                </c:pt>
                <c:pt idx="11">
                  <c:v>0.21</c:v>
                </c:pt>
                <c:pt idx="12">
                  <c:v>0.21</c:v>
                </c:pt>
                <c:pt idx="13">
                  <c:v>0.33</c:v>
                </c:pt>
                <c:pt idx="14">
                  <c:v>0.16</c:v>
                </c:pt>
                <c:pt idx="15">
                  <c:v>0.24</c:v>
                </c:pt>
                <c:pt idx="16">
                  <c:v>0.26</c:v>
                </c:pt>
                <c:pt idx="17">
                  <c:v>0.24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771840"/>
        <c:axId val="196773376"/>
      </c:lineChart>
      <c:catAx>
        <c:axId val="196771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6773376"/>
        <c:crosses val="autoZero"/>
        <c:auto val="1"/>
        <c:lblAlgn val="ctr"/>
        <c:lblOffset val="100"/>
        <c:noMultiLvlLbl val="0"/>
      </c:catAx>
      <c:valAx>
        <c:axId val="196773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67718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30</cp:revision>
  <dcterms:created xsi:type="dcterms:W3CDTF">2018-03-20T18:37:00Z</dcterms:created>
  <dcterms:modified xsi:type="dcterms:W3CDTF">2018-03-27T20:35:00Z</dcterms:modified>
</cp:coreProperties>
</file>